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42" w:rsidRPr="00C13858"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Pr="00C13858"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Pr="00C13858" w:rsidRDefault="004B2742" w:rsidP="00C13858">
      <w:pPr>
        <w:autoSpaceDE w:val="0"/>
        <w:autoSpaceDN w:val="0"/>
        <w:adjustRightInd w:val="0"/>
        <w:spacing w:after="40" w:line="266" w:lineRule="auto"/>
        <w:jc w:val="both"/>
        <w:textAlignment w:val="center"/>
        <w:rPr>
          <w:rFonts w:ascii="Calibri" w:hAnsi="Calibri" w:cs="Calibri"/>
          <w:color w:val="404040" w:themeColor="text1" w:themeTint="BF"/>
        </w:rPr>
      </w:pPr>
    </w:p>
    <w:p w:rsidR="004B2742" w:rsidRPr="00C13858" w:rsidRDefault="004B2742" w:rsidP="00C13858">
      <w:pPr>
        <w:autoSpaceDE w:val="0"/>
        <w:autoSpaceDN w:val="0"/>
        <w:adjustRightInd w:val="0"/>
        <w:spacing w:after="40" w:line="266" w:lineRule="auto"/>
        <w:jc w:val="both"/>
        <w:textAlignment w:val="center"/>
        <w:rPr>
          <w:rFonts w:ascii="Calibri" w:hAnsi="Calibri" w:cs="Calibri"/>
          <w:color w:val="404040" w:themeColor="text1" w:themeTint="BF"/>
        </w:rPr>
      </w:pPr>
    </w:p>
    <w:p w:rsidR="004B2742" w:rsidRPr="00C13858" w:rsidRDefault="004B2742" w:rsidP="00C13858">
      <w:pPr>
        <w:autoSpaceDE w:val="0"/>
        <w:autoSpaceDN w:val="0"/>
        <w:adjustRightInd w:val="0"/>
        <w:spacing w:after="40" w:line="266" w:lineRule="auto"/>
        <w:jc w:val="both"/>
        <w:textAlignment w:val="center"/>
        <w:rPr>
          <w:rFonts w:ascii="Calibri" w:hAnsi="Calibri" w:cs="Calibri"/>
          <w:color w:val="404040" w:themeColor="text1" w:themeTint="BF"/>
        </w:rPr>
      </w:pPr>
    </w:p>
    <w:p w:rsidR="004B2742" w:rsidRPr="00C13858" w:rsidRDefault="004B2742" w:rsidP="00C13858">
      <w:pPr>
        <w:autoSpaceDE w:val="0"/>
        <w:autoSpaceDN w:val="0"/>
        <w:adjustRightInd w:val="0"/>
        <w:spacing w:after="40" w:line="266" w:lineRule="auto"/>
        <w:jc w:val="both"/>
        <w:textAlignment w:val="center"/>
        <w:rPr>
          <w:rFonts w:ascii="Calibri" w:hAnsi="Calibri" w:cs="Calibri"/>
          <w:color w:val="404040" w:themeColor="text1" w:themeTint="BF"/>
        </w:rPr>
      </w:pPr>
    </w:p>
    <w:p w:rsidR="00C13858" w:rsidRPr="00C13858" w:rsidRDefault="00C13858" w:rsidP="00C13858">
      <w:pPr>
        <w:spacing w:after="40" w:line="266" w:lineRule="auto"/>
        <w:jc w:val="center"/>
        <w:rPr>
          <w:b/>
          <w:color w:val="404040" w:themeColor="text1" w:themeTint="BF"/>
          <w:sz w:val="28"/>
          <w:szCs w:val="28"/>
        </w:rPr>
      </w:pPr>
      <w:bookmarkStart w:id="0" w:name="_GoBack"/>
      <w:bookmarkEnd w:id="0"/>
      <w:r w:rsidRPr="00C13858">
        <w:rPr>
          <w:b/>
          <w:color w:val="404040" w:themeColor="text1" w:themeTint="BF"/>
          <w:sz w:val="28"/>
          <w:szCs w:val="28"/>
        </w:rPr>
        <w:t>Stanovisko k</w:t>
      </w:r>
      <w:r w:rsidR="00BF47C2">
        <w:rPr>
          <w:b/>
          <w:color w:val="404040" w:themeColor="text1" w:themeTint="BF"/>
          <w:sz w:val="28"/>
          <w:szCs w:val="28"/>
        </w:rPr>
        <w:t> implementaci směrnice ATAD do českého právního řádu</w:t>
      </w:r>
    </w:p>
    <w:p w:rsidR="00C13858" w:rsidRPr="00C13858" w:rsidRDefault="00C13858" w:rsidP="00C13858">
      <w:pPr>
        <w:spacing w:after="40" w:line="266" w:lineRule="auto"/>
        <w:jc w:val="center"/>
        <w:rPr>
          <w:b/>
          <w:color w:val="404040" w:themeColor="text1" w:themeTint="BF"/>
          <w:sz w:val="2"/>
          <w:szCs w:val="28"/>
        </w:rPr>
      </w:pPr>
    </w:p>
    <w:p w:rsidR="00C13858" w:rsidRPr="00C13858" w:rsidRDefault="00C13858" w:rsidP="00C13858">
      <w:pPr>
        <w:spacing w:after="40" w:line="266" w:lineRule="auto"/>
        <w:rPr>
          <w:b/>
          <w:color w:val="404040" w:themeColor="text1" w:themeTint="BF"/>
        </w:rPr>
      </w:pPr>
    </w:p>
    <w:p w:rsidR="00C13858" w:rsidRPr="00C13858" w:rsidRDefault="00C13858" w:rsidP="00C13858">
      <w:pPr>
        <w:autoSpaceDE w:val="0"/>
        <w:autoSpaceDN w:val="0"/>
        <w:adjustRightInd w:val="0"/>
        <w:spacing w:after="40" w:line="266" w:lineRule="auto"/>
        <w:jc w:val="both"/>
        <w:rPr>
          <w:rFonts w:cs="Arial"/>
          <w:b/>
          <w:color w:val="404040" w:themeColor="text1" w:themeTint="BF"/>
          <w:shd w:val="clear" w:color="auto" w:fill="FFFFFF"/>
        </w:rPr>
      </w:pPr>
      <w:r w:rsidRPr="00C13858">
        <w:rPr>
          <w:rFonts w:cs="Arial"/>
          <w:b/>
          <w:color w:val="404040" w:themeColor="text1" w:themeTint="BF"/>
          <w:shd w:val="clear" w:color="auto" w:fill="FFFFFF"/>
        </w:rPr>
        <w:t>Obecné připomínky:</w:t>
      </w:r>
    </w:p>
    <w:p w:rsidR="004C66DD" w:rsidRPr="004C66DD" w:rsidRDefault="004C66DD" w:rsidP="004C66DD">
      <w:pPr>
        <w:spacing w:after="20" w:line="266" w:lineRule="auto"/>
        <w:jc w:val="both"/>
        <w:rPr>
          <w:color w:val="404040" w:themeColor="text1" w:themeTint="BF"/>
        </w:rPr>
      </w:pPr>
      <w:r w:rsidRPr="004C66DD">
        <w:rPr>
          <w:color w:val="404040" w:themeColor="text1" w:themeTint="BF"/>
        </w:rPr>
        <w:t xml:space="preserve">Směrnice </w:t>
      </w:r>
      <w:r>
        <w:rPr>
          <w:color w:val="404040" w:themeColor="text1" w:themeTint="BF"/>
        </w:rPr>
        <w:t>ATAD</w:t>
      </w:r>
      <w:r w:rsidRPr="004C66DD">
        <w:rPr>
          <w:color w:val="404040" w:themeColor="text1" w:themeTint="BF"/>
        </w:rPr>
        <w:t xml:space="preserve"> je schválená a je pro ČR právně závazná. Nyní se jen řeší varianty implementace. Pro SP ČR je důležité, aby ČR zbytečně nešla dobrovolně nad rámec povinné implementace (</w:t>
      </w:r>
      <w:proofErr w:type="spellStart"/>
      <w:r w:rsidRPr="004C66DD">
        <w:rPr>
          <w:color w:val="404040" w:themeColor="text1" w:themeTint="BF"/>
        </w:rPr>
        <w:t>gold</w:t>
      </w:r>
      <w:proofErr w:type="spellEnd"/>
      <w:r w:rsidRPr="004C66DD">
        <w:rPr>
          <w:color w:val="404040" w:themeColor="text1" w:themeTint="BF"/>
        </w:rPr>
        <w:t xml:space="preserve"> </w:t>
      </w:r>
      <w:proofErr w:type="spellStart"/>
      <w:r w:rsidRPr="004C66DD">
        <w:rPr>
          <w:color w:val="404040" w:themeColor="text1" w:themeTint="BF"/>
        </w:rPr>
        <w:t>plating</w:t>
      </w:r>
      <w:proofErr w:type="spellEnd"/>
      <w:r w:rsidRPr="004C66DD">
        <w:rPr>
          <w:color w:val="404040" w:themeColor="text1" w:themeTint="BF"/>
        </w:rPr>
        <w:t>), aby čeští podnikatelé nebyli poškozeni více, než podnikatelé v jiných členských státech. M</w:t>
      </w:r>
      <w:r>
        <w:rPr>
          <w:color w:val="404040" w:themeColor="text1" w:themeTint="BF"/>
        </w:rPr>
        <w:t>inisterstvo financí</w:t>
      </w:r>
      <w:r w:rsidRPr="004C66DD">
        <w:rPr>
          <w:color w:val="404040" w:themeColor="text1" w:themeTint="BF"/>
        </w:rPr>
        <w:t>, zdá se, nechce jít zbytečně nad rámec povinné implementace</w:t>
      </w:r>
      <w:r w:rsidR="00DA5ACF">
        <w:rPr>
          <w:color w:val="404040" w:themeColor="text1" w:themeTint="BF"/>
        </w:rPr>
        <w:t>, což oceňujeme</w:t>
      </w:r>
      <w:r w:rsidRPr="004C66DD">
        <w:rPr>
          <w:color w:val="404040" w:themeColor="text1" w:themeTint="BF"/>
        </w:rPr>
        <w:t xml:space="preserve">. Například ATAD navrhuje omezit daňovou </w:t>
      </w:r>
      <w:proofErr w:type="spellStart"/>
      <w:r w:rsidRPr="004C66DD">
        <w:rPr>
          <w:color w:val="404040" w:themeColor="text1" w:themeTint="BF"/>
        </w:rPr>
        <w:t>uznatelnost</w:t>
      </w:r>
      <w:proofErr w:type="spellEnd"/>
      <w:r w:rsidRPr="004C66DD">
        <w:rPr>
          <w:color w:val="404040" w:themeColor="text1" w:themeTint="BF"/>
        </w:rPr>
        <w:t xml:space="preserve"> úroků z dluhového financování na 30 % EBITDA, přičemž je možné tento limit zpřísnit až na 10 %. Další snižování tohoto limitu už by mohlo být problematické a zasáhlo by již relativně dost firem. Naštěstí MF navrhuje ponechat 30 %. ATAD zavádí tzv. daň při odchodu, která je problematická (možná porušuje jednu ze 4 základních svobod EU). MF se kloní k tomu, implementovat tuto daň až k nejzazšímu možnému termínu 1. 1. 2020. Některá ustanovení směrnice (obecné pravidlo proti zneužívání) nebudou explicitně přejaty do zákona o daních z příjmu, ale postačí k implementaci dosavadní judikatura správních soudů.</w:t>
      </w:r>
    </w:p>
    <w:p w:rsidR="004C66DD" w:rsidRPr="004C66DD" w:rsidRDefault="004C66DD" w:rsidP="004C66DD">
      <w:pPr>
        <w:spacing w:after="20" w:line="266" w:lineRule="auto"/>
        <w:jc w:val="both"/>
        <w:rPr>
          <w:color w:val="404040" w:themeColor="text1" w:themeTint="BF"/>
        </w:rPr>
      </w:pPr>
    </w:p>
    <w:p w:rsidR="004C66DD" w:rsidRPr="004C66DD" w:rsidRDefault="004C66DD" w:rsidP="004C66DD">
      <w:pPr>
        <w:spacing w:after="20" w:line="266" w:lineRule="auto"/>
        <w:jc w:val="both"/>
        <w:rPr>
          <w:color w:val="404040" w:themeColor="text1" w:themeTint="BF"/>
        </w:rPr>
      </w:pPr>
      <w:r>
        <w:rPr>
          <w:color w:val="404040" w:themeColor="text1" w:themeTint="BF"/>
        </w:rPr>
        <w:t>S</w:t>
      </w:r>
      <w:r w:rsidRPr="004C66DD">
        <w:rPr>
          <w:color w:val="404040" w:themeColor="text1" w:themeTint="BF"/>
        </w:rPr>
        <w:t>měrnice ATAD určitě není ideální, ale když už byla přijata, t</w:t>
      </w:r>
      <w:r>
        <w:rPr>
          <w:color w:val="404040" w:themeColor="text1" w:themeTint="BF"/>
        </w:rPr>
        <w:t>ak je důležité ji nezpřísňovat.</w:t>
      </w:r>
    </w:p>
    <w:p w:rsidR="00924B13" w:rsidRDefault="00924B13" w:rsidP="00C13858">
      <w:pPr>
        <w:spacing w:after="20" w:line="266" w:lineRule="auto"/>
        <w:jc w:val="both"/>
        <w:rPr>
          <w:color w:val="404040" w:themeColor="text1" w:themeTint="BF"/>
        </w:rPr>
      </w:pPr>
    </w:p>
    <w:p w:rsidR="00C13858" w:rsidRDefault="00C13858" w:rsidP="00C13858">
      <w:pPr>
        <w:spacing w:after="40" w:line="266" w:lineRule="auto"/>
        <w:jc w:val="both"/>
        <w:rPr>
          <w:b/>
          <w:color w:val="404040" w:themeColor="text1" w:themeTint="BF"/>
        </w:rPr>
      </w:pPr>
      <w:r w:rsidRPr="00C13858">
        <w:rPr>
          <w:b/>
          <w:color w:val="404040" w:themeColor="text1" w:themeTint="BF"/>
        </w:rPr>
        <w:t xml:space="preserve">Konkrétní </w:t>
      </w:r>
      <w:r w:rsidR="00BF47C2">
        <w:rPr>
          <w:b/>
          <w:color w:val="404040" w:themeColor="text1" w:themeTint="BF"/>
        </w:rPr>
        <w:t xml:space="preserve">připomínky </w:t>
      </w:r>
      <w:r w:rsidR="00BF47C2" w:rsidRPr="00BF47C2">
        <w:rPr>
          <w:b/>
          <w:color w:val="404040" w:themeColor="text1" w:themeTint="BF"/>
        </w:rPr>
        <w:t>k implementaci jednotlivých ustanovení směrnice</w:t>
      </w:r>
      <w:r w:rsidRPr="00C13858">
        <w:rPr>
          <w:b/>
          <w:color w:val="404040" w:themeColor="text1" w:themeTint="BF"/>
        </w:rPr>
        <w:t>:</w:t>
      </w:r>
    </w:p>
    <w:p w:rsidR="004C66DD" w:rsidRPr="00C13858" w:rsidRDefault="004C66DD" w:rsidP="00C13858">
      <w:pPr>
        <w:spacing w:after="40" w:line="266" w:lineRule="auto"/>
        <w:jc w:val="both"/>
        <w:rPr>
          <w:b/>
          <w:color w:val="404040" w:themeColor="text1" w:themeTint="BF"/>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
        <w:gridCol w:w="984"/>
        <w:gridCol w:w="447"/>
        <w:gridCol w:w="934"/>
        <w:gridCol w:w="3401"/>
        <w:gridCol w:w="3527"/>
      </w:tblGrid>
      <w:tr w:rsidR="00BF47C2" w:rsidTr="00BF47C2">
        <w:tc>
          <w:tcPr>
            <w:tcW w:w="155" w:type="pct"/>
            <w:shd w:val="clear" w:color="auto" w:fill="auto"/>
            <w:vAlign w:val="center"/>
          </w:tcPr>
          <w:p w:rsidR="00BF47C2" w:rsidRPr="00A25E95" w:rsidRDefault="00BF47C2" w:rsidP="00BF47C2">
            <w:pPr>
              <w:ind w:left="-142" w:right="-59"/>
              <w:jc w:val="center"/>
              <w:rPr>
                <w:rFonts w:ascii="Times New Roman" w:hAnsi="Times New Roman" w:cs="Times New Roman"/>
                <w:b/>
                <w:bCs/>
              </w:rPr>
            </w:pPr>
            <w:r w:rsidRPr="00F8035A">
              <w:rPr>
                <w:rFonts w:ascii="Times New Roman" w:hAnsi="Times New Roman" w:cs="Times New Roman"/>
                <w:b/>
                <w:bCs/>
              </w:rPr>
              <w:t xml:space="preserve">Č. </w:t>
            </w:r>
            <w:proofErr w:type="spellStart"/>
            <w:r>
              <w:rPr>
                <w:rFonts w:ascii="Times New Roman" w:hAnsi="Times New Roman" w:cs="Times New Roman"/>
                <w:b/>
                <w:bCs/>
              </w:rPr>
              <w:t>org</w:t>
            </w:r>
            <w:proofErr w:type="spellEnd"/>
            <w:r w:rsidRPr="00F8035A">
              <w:rPr>
                <w:rFonts w:ascii="Times New Roman" w:hAnsi="Times New Roman" w:cs="Times New Roman"/>
                <w:b/>
                <w:bCs/>
              </w:rPr>
              <w:t>.</w:t>
            </w:r>
          </w:p>
        </w:tc>
        <w:tc>
          <w:tcPr>
            <w:tcW w:w="513" w:type="pct"/>
            <w:shd w:val="clear" w:color="auto" w:fill="auto"/>
            <w:vAlign w:val="center"/>
          </w:tcPr>
          <w:p w:rsidR="00BF47C2" w:rsidRPr="00A25E95" w:rsidRDefault="00BF47C2" w:rsidP="00BF47C2">
            <w:pPr>
              <w:jc w:val="center"/>
              <w:rPr>
                <w:rFonts w:ascii="Times New Roman" w:hAnsi="Times New Roman" w:cs="Times New Roman"/>
              </w:rPr>
            </w:pPr>
            <w:r>
              <w:rPr>
                <w:rFonts w:ascii="Times New Roman" w:hAnsi="Times New Roman" w:cs="Times New Roman"/>
                <w:b/>
                <w:bCs/>
              </w:rPr>
              <w:t>Organizace</w:t>
            </w:r>
          </w:p>
        </w:tc>
        <w:tc>
          <w:tcPr>
            <w:tcW w:w="233" w:type="pct"/>
            <w:shd w:val="clear" w:color="auto" w:fill="auto"/>
            <w:vAlign w:val="center"/>
          </w:tcPr>
          <w:p w:rsidR="00BF47C2" w:rsidRPr="00A25E95" w:rsidRDefault="00BF47C2" w:rsidP="00BF47C2">
            <w:pPr>
              <w:ind w:left="-28" w:right="-58" w:firstLine="15"/>
              <w:jc w:val="center"/>
              <w:rPr>
                <w:rFonts w:ascii="Times New Roman" w:hAnsi="Times New Roman" w:cs="Times New Roman"/>
                <w:b/>
                <w:bCs/>
              </w:rPr>
            </w:pPr>
            <w:r w:rsidRPr="00A25E95">
              <w:rPr>
                <w:rFonts w:ascii="Times New Roman" w:hAnsi="Times New Roman" w:cs="Times New Roman"/>
                <w:b/>
                <w:bCs/>
              </w:rPr>
              <w:t>Č. př.</w:t>
            </w:r>
          </w:p>
        </w:tc>
        <w:tc>
          <w:tcPr>
            <w:tcW w:w="487" w:type="pct"/>
            <w:shd w:val="clear" w:color="auto" w:fill="auto"/>
            <w:vAlign w:val="center"/>
          </w:tcPr>
          <w:p w:rsidR="00BF47C2" w:rsidRPr="00A25E95" w:rsidRDefault="00BF47C2" w:rsidP="00BF47C2">
            <w:pPr>
              <w:jc w:val="center"/>
              <w:rPr>
                <w:rFonts w:ascii="Times New Roman" w:hAnsi="Times New Roman" w:cs="Times New Roman"/>
                <w:b/>
                <w:bCs/>
              </w:rPr>
            </w:pPr>
            <w:r>
              <w:rPr>
                <w:rFonts w:ascii="Times New Roman" w:hAnsi="Times New Roman" w:cs="Times New Roman"/>
                <w:b/>
                <w:bCs/>
              </w:rPr>
              <w:t>Připomínka k</w:t>
            </w:r>
          </w:p>
        </w:tc>
        <w:tc>
          <w:tcPr>
            <w:tcW w:w="1773" w:type="pct"/>
            <w:shd w:val="clear" w:color="auto" w:fill="auto"/>
            <w:vAlign w:val="center"/>
          </w:tcPr>
          <w:p w:rsidR="00BF47C2" w:rsidRPr="00A25E95" w:rsidRDefault="00BF47C2" w:rsidP="00BF47C2">
            <w:pPr>
              <w:jc w:val="center"/>
              <w:rPr>
                <w:rFonts w:ascii="Times New Roman" w:hAnsi="Times New Roman" w:cs="Times New Roman"/>
              </w:rPr>
            </w:pPr>
            <w:r>
              <w:rPr>
                <w:rFonts w:ascii="Times New Roman" w:hAnsi="Times New Roman" w:cs="Times New Roman"/>
                <w:b/>
                <w:bCs/>
              </w:rPr>
              <w:t>Podnět</w:t>
            </w:r>
          </w:p>
        </w:tc>
        <w:tc>
          <w:tcPr>
            <w:tcW w:w="1839" w:type="pct"/>
            <w:shd w:val="clear" w:color="auto" w:fill="auto"/>
          </w:tcPr>
          <w:p w:rsidR="00BF47C2" w:rsidRDefault="00BF47C2" w:rsidP="00BF47C2">
            <w:pPr>
              <w:jc w:val="center"/>
              <w:rPr>
                <w:rFonts w:ascii="Times New Roman" w:hAnsi="Times New Roman" w:cs="Times New Roman"/>
                <w:b/>
                <w:bCs/>
              </w:rPr>
            </w:pPr>
            <w:r>
              <w:rPr>
                <w:rFonts w:ascii="Times New Roman" w:hAnsi="Times New Roman" w:cs="Times New Roman"/>
                <w:b/>
                <w:bCs/>
              </w:rPr>
              <w:t>Vysvětlení</w:t>
            </w:r>
          </w:p>
        </w:tc>
      </w:tr>
      <w:tr w:rsidR="00BF47C2" w:rsidRPr="007D17BE" w:rsidTr="00BF47C2">
        <w:trPr>
          <w:trHeight w:val="513"/>
        </w:trPr>
        <w:tc>
          <w:tcPr>
            <w:tcW w:w="155" w:type="pct"/>
            <w:tcBorders>
              <w:top w:val="single" w:sz="4" w:space="0" w:color="auto"/>
              <w:left w:val="single" w:sz="4" w:space="0" w:color="auto"/>
              <w:right w:val="single" w:sz="4" w:space="0" w:color="auto"/>
            </w:tcBorders>
            <w:shd w:val="clear" w:color="auto" w:fill="auto"/>
          </w:tcPr>
          <w:p w:rsidR="00BF47C2" w:rsidRPr="00A25E95" w:rsidRDefault="00BF47C2" w:rsidP="00BF47C2">
            <w:pPr>
              <w:ind w:left="-142" w:right="-59"/>
              <w:rPr>
                <w:rFonts w:ascii="Times New Roman" w:hAnsi="Times New Roman" w:cs="Times New Roman"/>
                <w:sz w:val="20"/>
                <w:szCs w:val="20"/>
                <w:highlight w:val="lightGray"/>
              </w:rPr>
            </w:pPr>
          </w:p>
        </w:tc>
        <w:tc>
          <w:tcPr>
            <w:tcW w:w="513" w:type="pct"/>
            <w:tcBorders>
              <w:top w:val="single" w:sz="4" w:space="0" w:color="auto"/>
              <w:left w:val="single" w:sz="4" w:space="0" w:color="auto"/>
              <w:right w:val="single" w:sz="4" w:space="0" w:color="auto"/>
            </w:tcBorders>
            <w:shd w:val="clear" w:color="auto" w:fill="auto"/>
          </w:tcPr>
          <w:p w:rsidR="00BF47C2" w:rsidRPr="007D17BE"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right w:val="single" w:sz="4" w:space="0" w:color="auto"/>
            </w:tcBorders>
            <w:shd w:val="clear" w:color="auto" w:fill="auto"/>
          </w:tcPr>
          <w:p w:rsidR="00BF47C2" w:rsidRPr="007D17BE"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1</w:t>
            </w:r>
          </w:p>
        </w:tc>
        <w:tc>
          <w:tcPr>
            <w:tcW w:w="487" w:type="pct"/>
            <w:tcBorders>
              <w:top w:val="single" w:sz="4" w:space="0" w:color="auto"/>
              <w:left w:val="single" w:sz="4" w:space="0" w:color="auto"/>
              <w:right w:val="single" w:sz="4" w:space="0" w:color="auto"/>
            </w:tcBorders>
            <w:shd w:val="clear" w:color="auto" w:fill="auto"/>
          </w:tcPr>
          <w:p w:rsidR="00BF47C2" w:rsidRPr="007D17BE" w:rsidRDefault="00BF47C2" w:rsidP="00BF47C2">
            <w:pPr>
              <w:jc w:val="center"/>
              <w:rPr>
                <w:rFonts w:ascii="Times New Roman" w:hAnsi="Times New Roman" w:cs="Times New Roman"/>
                <w:sz w:val="20"/>
                <w:szCs w:val="20"/>
              </w:rPr>
            </w:pPr>
            <w:r>
              <w:rPr>
                <w:rFonts w:ascii="Times New Roman" w:hAnsi="Times New Roman" w:cs="Times New Roman"/>
                <w:sz w:val="20"/>
                <w:szCs w:val="20"/>
              </w:rPr>
              <w:t>2.1</w:t>
            </w:r>
          </w:p>
        </w:tc>
        <w:tc>
          <w:tcPr>
            <w:tcW w:w="1773" w:type="pct"/>
            <w:tcBorders>
              <w:top w:val="single" w:sz="4" w:space="0" w:color="auto"/>
              <w:left w:val="single" w:sz="4" w:space="0" w:color="auto"/>
              <w:bottom w:val="single" w:sz="4" w:space="0" w:color="auto"/>
              <w:right w:val="single" w:sz="4" w:space="0" w:color="auto"/>
            </w:tcBorders>
            <w:shd w:val="clear" w:color="auto" w:fill="auto"/>
          </w:tcPr>
          <w:p w:rsidR="00BF47C2" w:rsidRPr="007D17BE" w:rsidRDefault="00BF47C2" w:rsidP="00BF47C2">
            <w:pPr>
              <w:jc w:val="both"/>
              <w:rPr>
                <w:rFonts w:ascii="Times New Roman" w:hAnsi="Times New Roman"/>
                <w:b/>
                <w:sz w:val="20"/>
                <w:szCs w:val="20"/>
              </w:rPr>
            </w:pPr>
            <w:r w:rsidRPr="00242951">
              <w:rPr>
                <w:rFonts w:ascii="Times New Roman" w:hAnsi="Times New Roman" w:cs="Times New Roman"/>
                <w:sz w:val="20"/>
                <w:szCs w:val="20"/>
              </w:rPr>
              <w:t xml:space="preserve">Souhlasíme s MF, aby základní pravidlo pro limitaci daňové </w:t>
            </w:r>
            <w:proofErr w:type="spellStart"/>
            <w:r w:rsidRPr="00242951">
              <w:rPr>
                <w:rFonts w:ascii="Times New Roman" w:hAnsi="Times New Roman" w:cs="Times New Roman"/>
                <w:sz w:val="20"/>
                <w:szCs w:val="20"/>
              </w:rPr>
              <w:t>uznatelnosti</w:t>
            </w:r>
            <w:proofErr w:type="spellEnd"/>
            <w:r w:rsidRPr="00242951">
              <w:rPr>
                <w:rFonts w:ascii="Times New Roman" w:hAnsi="Times New Roman" w:cs="Times New Roman"/>
                <w:sz w:val="20"/>
                <w:szCs w:val="20"/>
              </w:rPr>
              <w:t xml:space="preserve"> úroků z dluhu ve výši 30 % EBITDA nebylo dále zpřísňováno. Jsme zásadně proti zpřísňování tohoto pravidla.</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Pr="00242951" w:rsidRDefault="00BF47C2" w:rsidP="00BF47C2">
            <w:pPr>
              <w:jc w:val="both"/>
              <w:rPr>
                <w:rFonts w:ascii="Times New Roman" w:hAnsi="Times New Roman" w:cs="Times New Roman"/>
                <w:sz w:val="20"/>
                <w:szCs w:val="20"/>
              </w:rPr>
            </w:pPr>
            <w:r w:rsidRPr="00242951">
              <w:rPr>
                <w:rFonts w:ascii="Times New Roman" w:hAnsi="Times New Roman" w:cs="Times New Roman"/>
                <w:sz w:val="20"/>
                <w:szCs w:val="20"/>
              </w:rPr>
              <w:t>Výše 30 % EBITDA je podle nás zkonstruovaná adekvátně. Pravidlo dopadne na společnosti, kde je riziko přesunu zisků největší. Případné zpřísňování pravidla by dopadlo i na společnosti, kde je riziko přesunu zisků minimální. Také by to ohrozilo konkurenceschopnost českých firem, protože ostatní státy plánují implementovat maximální limit.</w:t>
            </w:r>
          </w:p>
        </w:tc>
      </w:tr>
      <w:tr w:rsidR="00BF47C2" w:rsidRPr="007D17BE" w:rsidTr="00BF47C2">
        <w:trPr>
          <w:trHeight w:val="1306"/>
        </w:trPr>
        <w:tc>
          <w:tcPr>
            <w:tcW w:w="155" w:type="pct"/>
            <w:tcBorders>
              <w:top w:val="single" w:sz="4" w:space="0" w:color="auto"/>
              <w:left w:val="single" w:sz="4" w:space="0" w:color="auto"/>
              <w:right w:val="single" w:sz="4" w:space="0" w:color="auto"/>
            </w:tcBorders>
            <w:shd w:val="clear" w:color="auto" w:fill="auto"/>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right w:val="single" w:sz="4" w:space="0" w:color="auto"/>
            </w:tcBorders>
            <w:shd w:val="clear" w:color="auto" w:fill="auto"/>
          </w:tcPr>
          <w:p w:rsidR="00BF47C2" w:rsidRPr="007D17BE"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right w:val="single" w:sz="4" w:space="0" w:color="auto"/>
            </w:tcBorders>
            <w:shd w:val="clear" w:color="auto" w:fill="auto"/>
          </w:tcPr>
          <w:p w:rsidR="00BF47C2" w:rsidRPr="007D17BE"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2</w:t>
            </w:r>
          </w:p>
        </w:tc>
        <w:tc>
          <w:tcPr>
            <w:tcW w:w="487" w:type="pct"/>
            <w:tcBorders>
              <w:top w:val="single" w:sz="4" w:space="0" w:color="auto"/>
              <w:left w:val="single" w:sz="4" w:space="0" w:color="auto"/>
              <w:right w:val="single" w:sz="4" w:space="0" w:color="auto"/>
            </w:tcBorders>
            <w:shd w:val="clear" w:color="auto" w:fill="auto"/>
          </w:tcPr>
          <w:p w:rsidR="00BF47C2" w:rsidRPr="007D17BE" w:rsidRDefault="00BF47C2" w:rsidP="00BF47C2">
            <w:pPr>
              <w:jc w:val="center"/>
              <w:rPr>
                <w:rFonts w:ascii="Times New Roman" w:hAnsi="Times New Roman" w:cs="Times New Roman"/>
                <w:sz w:val="20"/>
                <w:szCs w:val="20"/>
              </w:rPr>
            </w:pPr>
            <w:proofErr w:type="gramStart"/>
            <w:r>
              <w:rPr>
                <w:rFonts w:ascii="Times New Roman" w:hAnsi="Times New Roman" w:cs="Times New Roman"/>
                <w:sz w:val="20"/>
                <w:szCs w:val="20"/>
              </w:rPr>
              <w:t>2.4.a</w:t>
            </w:r>
            <w:proofErr w:type="gramEnd"/>
          </w:p>
        </w:tc>
        <w:tc>
          <w:tcPr>
            <w:tcW w:w="1773" w:type="pct"/>
            <w:tcBorders>
              <w:top w:val="single" w:sz="4" w:space="0" w:color="auto"/>
              <w:left w:val="single" w:sz="4" w:space="0" w:color="auto"/>
              <w:bottom w:val="single" w:sz="4" w:space="0" w:color="auto"/>
              <w:right w:val="single" w:sz="4" w:space="0" w:color="auto"/>
            </w:tcBorders>
            <w:shd w:val="clear" w:color="auto" w:fill="auto"/>
          </w:tcPr>
          <w:p w:rsidR="00BF47C2" w:rsidRPr="007D17BE" w:rsidRDefault="00BF47C2" w:rsidP="00BF47C2">
            <w:pPr>
              <w:jc w:val="both"/>
              <w:rPr>
                <w:rFonts w:ascii="Times New Roman" w:hAnsi="Times New Roman" w:cs="Times New Roman"/>
                <w:sz w:val="20"/>
                <w:szCs w:val="20"/>
              </w:rPr>
            </w:pPr>
            <w:r>
              <w:rPr>
                <w:rFonts w:ascii="Times New Roman" w:hAnsi="Times New Roman" w:cs="Times New Roman"/>
                <w:sz w:val="20"/>
                <w:szCs w:val="20"/>
              </w:rPr>
              <w:t>Z působnosti pravidla pro limitaci úroků mají být určitě vyňaty banky a další úvěrové instituce (stavební spořitelny, úvěrová družstva, nebankovní poskytovatelé, leasingové společnosti atd.). Za zvážení stojí i další finanční instituce.</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Pr="007D17BE" w:rsidRDefault="00BF47C2" w:rsidP="00BF47C2">
            <w:pPr>
              <w:jc w:val="both"/>
              <w:rPr>
                <w:rFonts w:ascii="Times New Roman" w:hAnsi="Times New Roman" w:cs="Times New Roman"/>
                <w:sz w:val="20"/>
                <w:szCs w:val="20"/>
              </w:rPr>
            </w:pPr>
            <w:r>
              <w:rPr>
                <w:rFonts w:ascii="Times New Roman" w:hAnsi="Times New Roman" w:cs="Times New Roman"/>
                <w:sz w:val="20"/>
                <w:szCs w:val="20"/>
              </w:rPr>
              <w:t>Banky a další úvěrové instituce mají vyšší úrokové výnosy než náklady a pravidlo pro limitaci úroků by tak bylo nepoužitelné.</w:t>
            </w:r>
          </w:p>
        </w:tc>
      </w:tr>
      <w:tr w:rsidR="00BF47C2" w:rsidRPr="008D3F13" w:rsidTr="00BF47C2">
        <w:trPr>
          <w:trHeight w:val="513"/>
        </w:trPr>
        <w:tc>
          <w:tcPr>
            <w:tcW w:w="155" w:type="pct"/>
            <w:tcBorders>
              <w:top w:val="single" w:sz="4" w:space="0" w:color="auto"/>
              <w:left w:val="single" w:sz="4" w:space="0" w:color="auto"/>
              <w:right w:val="single" w:sz="4" w:space="0" w:color="auto"/>
            </w:tcBorders>
            <w:shd w:val="clear" w:color="auto" w:fill="auto"/>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right w:val="single" w:sz="4" w:space="0" w:color="auto"/>
            </w:tcBorders>
            <w:shd w:val="clear" w:color="auto" w:fill="auto"/>
          </w:tcPr>
          <w:p w:rsidR="00BF47C2" w:rsidRPr="007D17BE"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right w:val="single" w:sz="4" w:space="0" w:color="auto"/>
            </w:tcBorders>
            <w:shd w:val="clear" w:color="auto" w:fill="auto"/>
          </w:tcPr>
          <w:p w:rsidR="00BF47C2" w:rsidRPr="007D17BE"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3</w:t>
            </w:r>
          </w:p>
        </w:tc>
        <w:tc>
          <w:tcPr>
            <w:tcW w:w="487" w:type="pct"/>
            <w:tcBorders>
              <w:top w:val="single" w:sz="4" w:space="0" w:color="auto"/>
              <w:left w:val="single" w:sz="4" w:space="0" w:color="auto"/>
              <w:right w:val="single" w:sz="4" w:space="0" w:color="auto"/>
            </w:tcBorders>
            <w:shd w:val="clear" w:color="auto" w:fill="auto"/>
          </w:tcPr>
          <w:p w:rsidR="00BF47C2" w:rsidRPr="007D17BE" w:rsidRDefault="00BF47C2" w:rsidP="00BF47C2">
            <w:pPr>
              <w:jc w:val="center"/>
              <w:rPr>
                <w:rFonts w:ascii="Times New Roman" w:hAnsi="Times New Roman" w:cs="Times New Roman"/>
                <w:sz w:val="20"/>
                <w:szCs w:val="20"/>
              </w:rPr>
            </w:pPr>
            <w:proofErr w:type="gramStart"/>
            <w:r>
              <w:rPr>
                <w:rFonts w:ascii="Times New Roman" w:hAnsi="Times New Roman" w:cs="Times New Roman"/>
                <w:sz w:val="20"/>
                <w:szCs w:val="20"/>
              </w:rPr>
              <w:t>2.4.b</w:t>
            </w:r>
            <w:proofErr w:type="gramEnd"/>
          </w:p>
        </w:tc>
        <w:tc>
          <w:tcPr>
            <w:tcW w:w="1773" w:type="pct"/>
            <w:tcBorders>
              <w:top w:val="single" w:sz="4" w:space="0" w:color="auto"/>
              <w:left w:val="single" w:sz="4" w:space="0" w:color="auto"/>
              <w:bottom w:val="single" w:sz="4" w:space="0" w:color="auto"/>
              <w:right w:val="single" w:sz="4" w:space="0" w:color="auto"/>
            </w:tcBorders>
            <w:shd w:val="clear" w:color="auto" w:fill="auto"/>
          </w:tcPr>
          <w:p w:rsidR="00BF47C2" w:rsidRPr="009956D9" w:rsidRDefault="00BF47C2" w:rsidP="00BF47C2">
            <w:pPr>
              <w:jc w:val="both"/>
              <w:rPr>
                <w:rFonts w:ascii="Times New Roman" w:hAnsi="Times New Roman" w:cs="Times New Roman"/>
                <w:sz w:val="20"/>
                <w:szCs w:val="20"/>
              </w:rPr>
            </w:pPr>
            <w:r>
              <w:rPr>
                <w:rFonts w:ascii="Times New Roman" w:hAnsi="Times New Roman" w:cs="Times New Roman"/>
                <w:sz w:val="20"/>
                <w:szCs w:val="20"/>
              </w:rPr>
              <w:t>Z působnosti pravidla pro limitaci úroků by měly být vyňaty subjekty stojící mimo skupinu.</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Pr="008D3F13" w:rsidRDefault="00BF47C2" w:rsidP="00BF47C2">
            <w:pPr>
              <w:jc w:val="both"/>
              <w:rPr>
                <w:rFonts w:ascii="Times New Roman" w:hAnsi="Times New Roman" w:cs="Times New Roman"/>
                <w:sz w:val="20"/>
                <w:szCs w:val="20"/>
              </w:rPr>
            </w:pPr>
            <w:r>
              <w:rPr>
                <w:rFonts w:ascii="Times New Roman" w:hAnsi="Times New Roman" w:cs="Times New Roman"/>
                <w:sz w:val="20"/>
                <w:szCs w:val="20"/>
              </w:rPr>
              <w:t>Souhlasíme s MF. Subjekty stojící mimo skupinu nemohou přesouvat zisky do zahraničí prostřednictvím úroků placených spojeným osobám. Není na ně nutné pravidlo aplikovat.</w:t>
            </w:r>
          </w:p>
        </w:tc>
      </w:tr>
      <w:tr w:rsidR="00BF47C2" w:rsidRPr="007D17BE" w:rsidTr="00BF47C2">
        <w:trPr>
          <w:trHeight w:val="294"/>
        </w:trPr>
        <w:tc>
          <w:tcPr>
            <w:tcW w:w="155" w:type="pct"/>
            <w:tcBorders>
              <w:top w:val="single" w:sz="4" w:space="0" w:color="auto"/>
              <w:left w:val="single" w:sz="4" w:space="0" w:color="auto"/>
              <w:right w:val="single" w:sz="4" w:space="0" w:color="auto"/>
            </w:tcBorders>
            <w:shd w:val="clear" w:color="auto" w:fill="auto"/>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right w:val="single" w:sz="4" w:space="0" w:color="auto"/>
            </w:tcBorders>
            <w:shd w:val="clear" w:color="auto" w:fill="auto"/>
          </w:tcPr>
          <w:p w:rsidR="00BF47C2" w:rsidRPr="007D17BE"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right w:val="single" w:sz="4" w:space="0" w:color="auto"/>
            </w:tcBorders>
            <w:shd w:val="clear" w:color="auto" w:fill="auto"/>
          </w:tcPr>
          <w:p w:rsidR="00BF47C2" w:rsidRPr="007D17BE"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4</w:t>
            </w:r>
          </w:p>
        </w:tc>
        <w:tc>
          <w:tcPr>
            <w:tcW w:w="487" w:type="pct"/>
            <w:tcBorders>
              <w:top w:val="single" w:sz="4" w:space="0" w:color="auto"/>
              <w:left w:val="single" w:sz="4" w:space="0" w:color="auto"/>
              <w:right w:val="single" w:sz="4" w:space="0" w:color="auto"/>
            </w:tcBorders>
            <w:shd w:val="clear" w:color="auto" w:fill="auto"/>
          </w:tcPr>
          <w:p w:rsidR="00BF47C2" w:rsidRPr="007D17BE" w:rsidRDefault="00BF47C2" w:rsidP="00BF47C2">
            <w:pPr>
              <w:widowControl w:val="0"/>
              <w:autoSpaceDE w:val="0"/>
              <w:autoSpaceDN w:val="0"/>
              <w:adjustRightInd w:val="0"/>
              <w:jc w:val="center"/>
              <w:rPr>
                <w:rFonts w:ascii="Times New Roman" w:hAnsi="Times New Roman" w:cs="Times New Roman"/>
                <w:sz w:val="20"/>
                <w:szCs w:val="20"/>
              </w:rPr>
            </w:pPr>
            <w:proofErr w:type="gramStart"/>
            <w:r>
              <w:rPr>
                <w:rFonts w:ascii="Times New Roman" w:hAnsi="Times New Roman" w:cs="Times New Roman"/>
                <w:sz w:val="20"/>
                <w:szCs w:val="20"/>
              </w:rPr>
              <w:t>2.4.c</w:t>
            </w:r>
            <w:proofErr w:type="gramEnd"/>
          </w:p>
        </w:tc>
        <w:tc>
          <w:tcPr>
            <w:tcW w:w="1773" w:type="pct"/>
            <w:tcBorders>
              <w:top w:val="single" w:sz="4" w:space="0" w:color="auto"/>
              <w:left w:val="single" w:sz="4" w:space="0" w:color="auto"/>
              <w:bottom w:val="single" w:sz="4" w:space="0" w:color="auto"/>
              <w:right w:val="single" w:sz="4" w:space="0" w:color="auto"/>
            </w:tcBorders>
            <w:shd w:val="clear" w:color="auto" w:fill="auto"/>
          </w:tcPr>
          <w:p w:rsidR="00BF47C2" w:rsidRPr="007D17BE" w:rsidRDefault="00BF47C2" w:rsidP="00BF47C2">
            <w:pPr>
              <w:jc w:val="both"/>
              <w:rPr>
                <w:rFonts w:ascii="Times New Roman" w:hAnsi="Times New Roman" w:cs="Times New Roman"/>
                <w:sz w:val="20"/>
                <w:szCs w:val="20"/>
              </w:rPr>
            </w:pPr>
            <w:r>
              <w:rPr>
                <w:rFonts w:ascii="Times New Roman" w:hAnsi="Times New Roman" w:cs="Times New Roman"/>
                <w:sz w:val="20"/>
                <w:szCs w:val="20"/>
              </w:rPr>
              <w:t>Vhodnější se nám zdá použít pro definici subjektů stojících mimo skupinu zákon o daních z příjmu než účetní předpisy.</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Pr="007D17BE" w:rsidRDefault="00BF47C2" w:rsidP="00BF47C2">
            <w:pPr>
              <w:jc w:val="both"/>
              <w:rPr>
                <w:rFonts w:ascii="Times New Roman" w:hAnsi="Times New Roman" w:cs="Times New Roman"/>
                <w:sz w:val="20"/>
                <w:szCs w:val="20"/>
              </w:rPr>
            </w:pPr>
            <w:r>
              <w:rPr>
                <w:rFonts w:ascii="Times New Roman" w:hAnsi="Times New Roman" w:cs="Times New Roman"/>
                <w:sz w:val="20"/>
                <w:szCs w:val="20"/>
              </w:rPr>
              <w:t>Vhodnější se nám zdá použít již existující pojem v ZDP než vytvářet nové pravidlo podle účetních předpisů.</w:t>
            </w:r>
          </w:p>
        </w:tc>
      </w:tr>
      <w:tr w:rsidR="00BF47C2" w:rsidRPr="007D17BE" w:rsidTr="00BF47C2">
        <w:trPr>
          <w:trHeight w:val="294"/>
        </w:trPr>
        <w:tc>
          <w:tcPr>
            <w:tcW w:w="155" w:type="pct"/>
            <w:tcBorders>
              <w:top w:val="single" w:sz="4" w:space="0" w:color="auto"/>
              <w:left w:val="single" w:sz="4" w:space="0" w:color="auto"/>
              <w:bottom w:val="single" w:sz="4" w:space="0" w:color="auto"/>
              <w:right w:val="single" w:sz="4" w:space="0" w:color="auto"/>
            </w:tcBorders>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bottom w:val="single" w:sz="4" w:space="0" w:color="auto"/>
              <w:right w:val="single" w:sz="4" w:space="0" w:color="auto"/>
            </w:tcBorders>
          </w:tcPr>
          <w:p w:rsidR="00BF47C2" w:rsidRPr="007D17BE"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bottom w:val="single" w:sz="4" w:space="0" w:color="auto"/>
              <w:right w:val="single" w:sz="4" w:space="0" w:color="auto"/>
            </w:tcBorders>
          </w:tcPr>
          <w:p w:rsidR="00BF47C2" w:rsidRPr="007D17BE"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5</w:t>
            </w:r>
          </w:p>
        </w:tc>
        <w:tc>
          <w:tcPr>
            <w:tcW w:w="487" w:type="pct"/>
            <w:tcBorders>
              <w:top w:val="single" w:sz="4" w:space="0" w:color="auto"/>
              <w:left w:val="single" w:sz="4" w:space="0" w:color="auto"/>
              <w:bottom w:val="single" w:sz="4" w:space="0" w:color="auto"/>
              <w:right w:val="single" w:sz="4" w:space="0" w:color="auto"/>
            </w:tcBorders>
          </w:tcPr>
          <w:p w:rsidR="00BF47C2" w:rsidRPr="007D17BE" w:rsidRDefault="00BF47C2" w:rsidP="00BF47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1773" w:type="pct"/>
            <w:tcBorders>
              <w:top w:val="single" w:sz="4" w:space="0" w:color="auto"/>
              <w:left w:val="single" w:sz="4" w:space="0" w:color="auto"/>
              <w:bottom w:val="single" w:sz="4" w:space="0" w:color="auto"/>
              <w:right w:val="single" w:sz="4" w:space="0" w:color="auto"/>
            </w:tcBorders>
            <w:shd w:val="clear" w:color="auto" w:fill="FFFFFF"/>
          </w:tcPr>
          <w:p w:rsidR="00BF47C2" w:rsidRPr="008D3F13" w:rsidRDefault="00BF47C2" w:rsidP="00BF47C2">
            <w:pPr>
              <w:jc w:val="both"/>
              <w:rPr>
                <w:rFonts w:ascii="Times New Roman" w:hAnsi="Times New Roman" w:cs="Times New Roman"/>
                <w:sz w:val="20"/>
                <w:szCs w:val="20"/>
              </w:rPr>
            </w:pPr>
            <w:r>
              <w:rPr>
                <w:rFonts w:ascii="Times New Roman" w:hAnsi="Times New Roman" w:cs="Times New Roman"/>
                <w:sz w:val="20"/>
                <w:szCs w:val="20"/>
              </w:rPr>
              <w:t xml:space="preserve">Podporujeme aplikaci pravidla de </w:t>
            </w:r>
            <w:proofErr w:type="spellStart"/>
            <w:r>
              <w:rPr>
                <w:rFonts w:ascii="Times New Roman" w:hAnsi="Times New Roman" w:cs="Times New Roman"/>
                <w:sz w:val="20"/>
                <w:szCs w:val="20"/>
              </w:rPr>
              <w:t>minimis</w:t>
            </w:r>
            <w:proofErr w:type="spellEnd"/>
            <w:r>
              <w:rPr>
                <w:rFonts w:ascii="Times New Roman" w:hAnsi="Times New Roman" w:cs="Times New Roman"/>
                <w:sz w:val="20"/>
                <w:szCs w:val="20"/>
              </w:rPr>
              <w:t xml:space="preserve"> a to v maximální možné výši 3 mil. EUR.</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Pr="007D17BE" w:rsidRDefault="00BF47C2" w:rsidP="00BF47C2">
            <w:pPr>
              <w:jc w:val="both"/>
              <w:rPr>
                <w:rFonts w:ascii="Times New Roman" w:hAnsi="Times New Roman" w:cs="Times New Roman"/>
                <w:sz w:val="20"/>
                <w:szCs w:val="20"/>
              </w:rPr>
            </w:pPr>
            <w:r>
              <w:rPr>
                <w:rFonts w:ascii="Times New Roman" w:hAnsi="Times New Roman" w:cs="Times New Roman"/>
                <w:sz w:val="20"/>
                <w:szCs w:val="20"/>
              </w:rPr>
              <w:t>Z důvodu maximálního snížení administrativních nákladů spojených s aplikací základního pravidla podporujeme maximální výši pro pravidl</w:t>
            </w:r>
            <w:r w:rsidR="00951DA7">
              <w:rPr>
                <w:rFonts w:ascii="Times New Roman" w:hAnsi="Times New Roman" w:cs="Times New Roman"/>
                <w:sz w:val="20"/>
                <w:szCs w:val="20"/>
              </w:rPr>
              <w:t xml:space="preserve">o de </w:t>
            </w:r>
            <w:proofErr w:type="spellStart"/>
            <w:r w:rsidR="00951DA7">
              <w:rPr>
                <w:rFonts w:ascii="Times New Roman" w:hAnsi="Times New Roman" w:cs="Times New Roman"/>
                <w:sz w:val="20"/>
                <w:szCs w:val="20"/>
              </w:rPr>
              <w:t>minimis</w:t>
            </w:r>
            <w:proofErr w:type="spellEnd"/>
            <w:r w:rsidR="00951DA7">
              <w:rPr>
                <w:rFonts w:ascii="Times New Roman" w:hAnsi="Times New Roman" w:cs="Times New Roman"/>
                <w:sz w:val="20"/>
                <w:szCs w:val="20"/>
              </w:rPr>
              <w:t>. Výše 3 mil. EUR (</w:t>
            </w:r>
            <w:r>
              <w:rPr>
                <w:rFonts w:ascii="Times New Roman" w:hAnsi="Times New Roman" w:cs="Times New Roman"/>
                <w:sz w:val="20"/>
                <w:szCs w:val="20"/>
              </w:rPr>
              <w:t xml:space="preserve">cca 81 mil. Kč) není přehnaně vysoká, aby ohrozila základní cíl – bránit daňové optimalizaci. Případné ztráty pro veřejné finance z aplikace pravidla de </w:t>
            </w:r>
            <w:proofErr w:type="spellStart"/>
            <w:r>
              <w:rPr>
                <w:rFonts w:ascii="Times New Roman" w:hAnsi="Times New Roman" w:cs="Times New Roman"/>
                <w:sz w:val="20"/>
                <w:szCs w:val="20"/>
              </w:rPr>
              <w:t>minimis</w:t>
            </w:r>
            <w:proofErr w:type="spellEnd"/>
            <w:r>
              <w:rPr>
                <w:rFonts w:ascii="Times New Roman" w:hAnsi="Times New Roman" w:cs="Times New Roman"/>
                <w:sz w:val="20"/>
                <w:szCs w:val="20"/>
              </w:rPr>
              <w:t xml:space="preserve"> v maximální výši budou zanedbatelné. Momentálně, v době extrémně nízkých úrokových sazeb, se může zdát, že výše 1 mil. EUR je dostatečná, ale při budoucím růstu úrokových sazeb už dostatečná být nemusí. Jsme proto pro aplikaci maximální výše pravidla de </w:t>
            </w:r>
            <w:proofErr w:type="spellStart"/>
            <w:r>
              <w:rPr>
                <w:rFonts w:ascii="Times New Roman" w:hAnsi="Times New Roman" w:cs="Times New Roman"/>
                <w:sz w:val="20"/>
                <w:szCs w:val="20"/>
              </w:rPr>
              <w:t>minimis</w:t>
            </w:r>
            <w:proofErr w:type="spellEnd"/>
            <w:r>
              <w:rPr>
                <w:rFonts w:ascii="Times New Roman" w:hAnsi="Times New Roman" w:cs="Times New Roman"/>
                <w:sz w:val="20"/>
                <w:szCs w:val="20"/>
              </w:rPr>
              <w:t>.</w:t>
            </w:r>
          </w:p>
        </w:tc>
      </w:tr>
      <w:tr w:rsidR="00BF47C2" w:rsidRPr="007D17BE" w:rsidTr="00BF47C2">
        <w:trPr>
          <w:trHeight w:val="294"/>
        </w:trPr>
        <w:tc>
          <w:tcPr>
            <w:tcW w:w="155" w:type="pct"/>
            <w:tcBorders>
              <w:top w:val="single" w:sz="4" w:space="0" w:color="auto"/>
              <w:left w:val="single" w:sz="4" w:space="0" w:color="auto"/>
              <w:bottom w:val="single" w:sz="4" w:space="0" w:color="auto"/>
              <w:right w:val="single" w:sz="4" w:space="0" w:color="auto"/>
            </w:tcBorders>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bottom w:val="single" w:sz="4" w:space="0" w:color="auto"/>
              <w:right w:val="single" w:sz="4" w:space="0" w:color="auto"/>
            </w:tcBorders>
          </w:tcPr>
          <w:p w:rsidR="00BF47C2"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bottom w:val="single" w:sz="4" w:space="0" w:color="auto"/>
              <w:right w:val="single" w:sz="4" w:space="0" w:color="auto"/>
            </w:tcBorders>
          </w:tcPr>
          <w:p w:rsidR="00BF47C2" w:rsidRPr="007D17BE"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6</w:t>
            </w:r>
          </w:p>
        </w:tc>
        <w:tc>
          <w:tcPr>
            <w:tcW w:w="487" w:type="pct"/>
            <w:tcBorders>
              <w:top w:val="single" w:sz="4" w:space="0" w:color="auto"/>
              <w:left w:val="single" w:sz="4" w:space="0" w:color="auto"/>
              <w:bottom w:val="single" w:sz="4" w:space="0" w:color="auto"/>
              <w:right w:val="single" w:sz="4" w:space="0" w:color="auto"/>
            </w:tcBorders>
          </w:tcPr>
          <w:p w:rsidR="00BF47C2" w:rsidRDefault="00BF47C2" w:rsidP="00BF47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2.7</w:t>
            </w:r>
          </w:p>
        </w:tc>
        <w:tc>
          <w:tcPr>
            <w:tcW w:w="1773" w:type="pct"/>
            <w:tcBorders>
              <w:top w:val="single" w:sz="4" w:space="0" w:color="auto"/>
              <w:left w:val="single" w:sz="4" w:space="0" w:color="auto"/>
              <w:bottom w:val="single" w:sz="4" w:space="0" w:color="auto"/>
              <w:right w:val="single" w:sz="4" w:space="0" w:color="auto"/>
            </w:tcBorders>
            <w:shd w:val="clear" w:color="auto" w:fill="FFFFFF"/>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Jsme pro</w:t>
            </w:r>
            <w:r w:rsidR="00951DA7">
              <w:rPr>
                <w:rFonts w:ascii="Times New Roman" w:hAnsi="Times New Roman" w:cs="Times New Roman"/>
                <w:sz w:val="20"/>
                <w:szCs w:val="20"/>
              </w:rPr>
              <w:t>,</w:t>
            </w:r>
            <w:r>
              <w:rPr>
                <w:rFonts w:ascii="Times New Roman" w:hAnsi="Times New Roman" w:cs="Times New Roman"/>
                <w:sz w:val="20"/>
                <w:szCs w:val="20"/>
              </w:rPr>
              <w:t xml:space="preserve"> zavést výjimku pro úroky z úvěrů poskytnutých na financování veřejné infrastruktury.</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Pr="007D17BE" w:rsidRDefault="00BF47C2" w:rsidP="00BF47C2">
            <w:pPr>
              <w:jc w:val="both"/>
              <w:rPr>
                <w:rFonts w:ascii="Times New Roman" w:hAnsi="Times New Roman" w:cs="Times New Roman"/>
                <w:sz w:val="20"/>
                <w:szCs w:val="20"/>
              </w:rPr>
            </w:pPr>
            <w:r>
              <w:rPr>
                <w:rFonts w:ascii="Times New Roman" w:hAnsi="Times New Roman" w:cs="Times New Roman"/>
                <w:sz w:val="20"/>
                <w:szCs w:val="20"/>
              </w:rPr>
              <w:t>Tento typ financování představuje jen velmi nízké riziko pro agresivní daňové plánování. ČR by tuto výjimku měla implementovat, aby nebylo omezeno financování veřejné infrastruktury, která je v ČR podfinancovaná.</w:t>
            </w:r>
          </w:p>
        </w:tc>
      </w:tr>
      <w:tr w:rsidR="00BF47C2" w:rsidRPr="007D17BE" w:rsidTr="00BF47C2">
        <w:trPr>
          <w:trHeight w:val="294"/>
        </w:trPr>
        <w:tc>
          <w:tcPr>
            <w:tcW w:w="155" w:type="pct"/>
            <w:tcBorders>
              <w:top w:val="single" w:sz="4" w:space="0" w:color="auto"/>
              <w:left w:val="single" w:sz="4" w:space="0" w:color="auto"/>
              <w:bottom w:val="single" w:sz="4" w:space="0" w:color="auto"/>
              <w:right w:val="single" w:sz="4" w:space="0" w:color="auto"/>
            </w:tcBorders>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bottom w:val="single" w:sz="4" w:space="0" w:color="auto"/>
              <w:right w:val="single" w:sz="4" w:space="0" w:color="auto"/>
            </w:tcBorders>
          </w:tcPr>
          <w:p w:rsidR="00BF47C2"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bottom w:val="single" w:sz="4" w:space="0" w:color="auto"/>
              <w:right w:val="single" w:sz="4" w:space="0" w:color="auto"/>
            </w:tcBorders>
          </w:tcPr>
          <w:p w:rsidR="00BF47C2"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7</w:t>
            </w:r>
          </w:p>
        </w:tc>
        <w:tc>
          <w:tcPr>
            <w:tcW w:w="487" w:type="pct"/>
            <w:tcBorders>
              <w:top w:val="single" w:sz="4" w:space="0" w:color="auto"/>
              <w:left w:val="single" w:sz="4" w:space="0" w:color="auto"/>
              <w:bottom w:val="single" w:sz="4" w:space="0" w:color="auto"/>
              <w:right w:val="single" w:sz="4" w:space="0" w:color="auto"/>
            </w:tcBorders>
          </w:tcPr>
          <w:p w:rsidR="00BF47C2" w:rsidRDefault="00BF47C2" w:rsidP="00BF47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w:t>
            </w:r>
          </w:p>
        </w:tc>
        <w:tc>
          <w:tcPr>
            <w:tcW w:w="1773" w:type="pct"/>
            <w:tcBorders>
              <w:top w:val="single" w:sz="4" w:space="0" w:color="auto"/>
              <w:left w:val="single" w:sz="4" w:space="0" w:color="auto"/>
              <w:bottom w:val="single" w:sz="4" w:space="0" w:color="auto"/>
              <w:right w:val="single" w:sz="4" w:space="0" w:color="auto"/>
            </w:tcBorders>
            <w:shd w:val="clear" w:color="auto" w:fill="FFFFFF"/>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Souhlasíme s MF, že by převod neuznaných úroků do jiných zdaňovacích období měl být využit. Jako nejvhodnější se asi jeví varianta a) převést neodpočitatelné nadměrné výpůjční náklady do dalších období bez časového omezení.</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Varianty b) a c) by byla obtížně implementovatelná do českého právního řadu, jak vysvětluje materiál MF.</w:t>
            </w:r>
          </w:p>
        </w:tc>
      </w:tr>
      <w:tr w:rsidR="00BF47C2" w:rsidRPr="007D17BE" w:rsidTr="00BF47C2">
        <w:trPr>
          <w:trHeight w:val="294"/>
        </w:trPr>
        <w:tc>
          <w:tcPr>
            <w:tcW w:w="155" w:type="pct"/>
            <w:tcBorders>
              <w:top w:val="single" w:sz="4" w:space="0" w:color="auto"/>
              <w:left w:val="single" w:sz="4" w:space="0" w:color="auto"/>
              <w:bottom w:val="single" w:sz="4" w:space="0" w:color="auto"/>
              <w:right w:val="single" w:sz="4" w:space="0" w:color="auto"/>
            </w:tcBorders>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bottom w:val="single" w:sz="4" w:space="0" w:color="auto"/>
              <w:right w:val="single" w:sz="4" w:space="0" w:color="auto"/>
            </w:tcBorders>
          </w:tcPr>
          <w:p w:rsidR="00BF47C2"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bottom w:val="single" w:sz="4" w:space="0" w:color="auto"/>
              <w:right w:val="single" w:sz="4" w:space="0" w:color="auto"/>
            </w:tcBorders>
          </w:tcPr>
          <w:p w:rsidR="00BF47C2"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8</w:t>
            </w:r>
          </w:p>
        </w:tc>
        <w:tc>
          <w:tcPr>
            <w:tcW w:w="487" w:type="pct"/>
            <w:tcBorders>
              <w:top w:val="single" w:sz="4" w:space="0" w:color="auto"/>
              <w:left w:val="single" w:sz="4" w:space="0" w:color="auto"/>
              <w:bottom w:val="single" w:sz="4" w:space="0" w:color="auto"/>
              <w:right w:val="single" w:sz="4" w:space="0" w:color="auto"/>
            </w:tcBorders>
          </w:tcPr>
          <w:p w:rsidR="00BF47C2" w:rsidRDefault="00BF47C2" w:rsidP="00BF47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2.11</w:t>
            </w:r>
          </w:p>
        </w:tc>
        <w:tc>
          <w:tcPr>
            <w:tcW w:w="1773" w:type="pct"/>
            <w:tcBorders>
              <w:top w:val="single" w:sz="4" w:space="0" w:color="auto"/>
              <w:left w:val="single" w:sz="4" w:space="0" w:color="auto"/>
              <w:bottom w:val="single" w:sz="4" w:space="0" w:color="auto"/>
              <w:right w:val="single" w:sz="4" w:space="0" w:color="auto"/>
            </w:tcBorders>
            <w:shd w:val="clear" w:color="auto" w:fill="FFFFFF"/>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 xml:space="preserve">Souhlasíme s MF, aby bylo stávající pravidlo proti nízké kapitalizaci bylo </w:t>
            </w:r>
            <w:r>
              <w:rPr>
                <w:rFonts w:ascii="Times New Roman" w:hAnsi="Times New Roman" w:cs="Times New Roman"/>
                <w:sz w:val="20"/>
                <w:szCs w:val="20"/>
              </w:rPr>
              <w:lastRenderedPageBreak/>
              <w:t>zachováno jen pro finanční podniky,</w:t>
            </w:r>
            <w:r w:rsidR="00951DA7">
              <w:rPr>
                <w:rFonts w:ascii="Times New Roman" w:hAnsi="Times New Roman" w:cs="Times New Roman"/>
                <w:sz w:val="20"/>
                <w:szCs w:val="20"/>
              </w:rPr>
              <w:t xml:space="preserve"> </w:t>
            </w:r>
            <w:r>
              <w:rPr>
                <w:rFonts w:ascii="Times New Roman" w:hAnsi="Times New Roman" w:cs="Times New Roman"/>
                <w:sz w:val="20"/>
                <w:szCs w:val="20"/>
              </w:rPr>
              <w:t>které budou vyjmuty z pravidla pro limitaci úroků.</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Pravidlo pro limitaci úroků je dostatečné proti agresivnímu daňovému plánování. </w:t>
            </w:r>
            <w:r>
              <w:rPr>
                <w:rFonts w:ascii="Times New Roman" w:hAnsi="Times New Roman" w:cs="Times New Roman"/>
                <w:sz w:val="20"/>
                <w:szCs w:val="20"/>
              </w:rPr>
              <w:lastRenderedPageBreak/>
              <w:t>Souběh s pravidlem proti nízké kapitalizaci není nutný.</w:t>
            </w:r>
          </w:p>
        </w:tc>
      </w:tr>
      <w:tr w:rsidR="00BF47C2" w:rsidRPr="007D17BE" w:rsidTr="00BF47C2">
        <w:trPr>
          <w:trHeight w:val="294"/>
        </w:trPr>
        <w:tc>
          <w:tcPr>
            <w:tcW w:w="155" w:type="pct"/>
            <w:tcBorders>
              <w:top w:val="single" w:sz="4" w:space="0" w:color="auto"/>
              <w:left w:val="single" w:sz="4" w:space="0" w:color="auto"/>
              <w:bottom w:val="single" w:sz="4" w:space="0" w:color="auto"/>
              <w:right w:val="single" w:sz="4" w:space="0" w:color="auto"/>
            </w:tcBorders>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bottom w:val="single" w:sz="4" w:space="0" w:color="auto"/>
              <w:right w:val="single" w:sz="4" w:space="0" w:color="auto"/>
            </w:tcBorders>
          </w:tcPr>
          <w:p w:rsidR="00BF47C2"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bottom w:val="single" w:sz="4" w:space="0" w:color="auto"/>
              <w:right w:val="single" w:sz="4" w:space="0" w:color="auto"/>
            </w:tcBorders>
          </w:tcPr>
          <w:p w:rsidR="00BF47C2"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9</w:t>
            </w:r>
          </w:p>
        </w:tc>
        <w:tc>
          <w:tcPr>
            <w:tcW w:w="487" w:type="pct"/>
            <w:tcBorders>
              <w:top w:val="single" w:sz="4" w:space="0" w:color="auto"/>
              <w:left w:val="single" w:sz="4" w:space="0" w:color="auto"/>
              <w:bottom w:val="single" w:sz="4" w:space="0" w:color="auto"/>
              <w:right w:val="single" w:sz="4" w:space="0" w:color="auto"/>
            </w:tcBorders>
          </w:tcPr>
          <w:p w:rsidR="00BF47C2" w:rsidRDefault="00BF47C2" w:rsidP="00BF47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773" w:type="pct"/>
            <w:tcBorders>
              <w:top w:val="single" w:sz="4" w:space="0" w:color="auto"/>
              <w:left w:val="single" w:sz="4" w:space="0" w:color="auto"/>
              <w:bottom w:val="single" w:sz="4" w:space="0" w:color="auto"/>
              <w:right w:val="single" w:sz="4" w:space="0" w:color="auto"/>
            </w:tcBorders>
            <w:shd w:val="clear" w:color="auto" w:fill="FFFFFF"/>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Kloníme se k tomu, aby zdanění při odchodu bylo účinné až v nejzazším možném termínu, tj. 1. 1. 2020.</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Zdanění při odchodu je kontroverzním institutem. Není vyloučeno, že je v rozporu se svobodou usazovat se v jiném členském státě (jedna ze 4 základních svobod v EU). Je tak možné, že toto ustanovení bude zrušeno SDEU. Proto se kloníme k tomu implementovat toto ustanovení až v nejzazším možném termínu.</w:t>
            </w:r>
          </w:p>
        </w:tc>
      </w:tr>
      <w:tr w:rsidR="00BF47C2" w:rsidRPr="007D17BE" w:rsidTr="00BF47C2">
        <w:trPr>
          <w:trHeight w:val="294"/>
        </w:trPr>
        <w:tc>
          <w:tcPr>
            <w:tcW w:w="155" w:type="pct"/>
            <w:tcBorders>
              <w:top w:val="single" w:sz="4" w:space="0" w:color="auto"/>
              <w:left w:val="single" w:sz="4" w:space="0" w:color="auto"/>
              <w:bottom w:val="single" w:sz="4" w:space="0" w:color="auto"/>
              <w:right w:val="single" w:sz="4" w:space="0" w:color="auto"/>
            </w:tcBorders>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bottom w:val="single" w:sz="4" w:space="0" w:color="auto"/>
              <w:right w:val="single" w:sz="4" w:space="0" w:color="auto"/>
            </w:tcBorders>
          </w:tcPr>
          <w:p w:rsidR="00BF47C2"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bottom w:val="single" w:sz="4" w:space="0" w:color="auto"/>
              <w:right w:val="single" w:sz="4" w:space="0" w:color="auto"/>
            </w:tcBorders>
          </w:tcPr>
          <w:p w:rsidR="00BF47C2"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10</w:t>
            </w:r>
          </w:p>
        </w:tc>
        <w:tc>
          <w:tcPr>
            <w:tcW w:w="487" w:type="pct"/>
            <w:tcBorders>
              <w:top w:val="single" w:sz="4" w:space="0" w:color="auto"/>
              <w:left w:val="single" w:sz="4" w:space="0" w:color="auto"/>
              <w:bottom w:val="single" w:sz="4" w:space="0" w:color="auto"/>
              <w:right w:val="single" w:sz="4" w:space="0" w:color="auto"/>
            </w:tcBorders>
          </w:tcPr>
          <w:p w:rsidR="00BF47C2" w:rsidRDefault="00BF47C2" w:rsidP="00BF47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773" w:type="pct"/>
            <w:tcBorders>
              <w:top w:val="single" w:sz="4" w:space="0" w:color="auto"/>
              <w:left w:val="single" w:sz="4" w:space="0" w:color="auto"/>
              <w:bottom w:val="single" w:sz="4" w:space="0" w:color="auto"/>
              <w:right w:val="single" w:sz="4" w:space="0" w:color="auto"/>
            </w:tcBorders>
            <w:shd w:val="clear" w:color="auto" w:fill="FFFFFF"/>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Souhlasíme s MF výslovně nevkládat obecné pravidlo proti zneužívání do zákona o dani z příjmu a ponechat toto pravidlo jen jako judikaturu Nejvyššího správního soudu.</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Default="00BF47C2" w:rsidP="00BF47C2">
            <w:pPr>
              <w:jc w:val="both"/>
              <w:rPr>
                <w:rFonts w:ascii="Times New Roman" w:hAnsi="Times New Roman" w:cs="Times New Roman"/>
                <w:sz w:val="20"/>
                <w:szCs w:val="20"/>
              </w:rPr>
            </w:pPr>
          </w:p>
        </w:tc>
      </w:tr>
      <w:tr w:rsidR="00BF47C2" w:rsidRPr="007D17BE" w:rsidTr="00BF47C2">
        <w:trPr>
          <w:trHeight w:val="294"/>
        </w:trPr>
        <w:tc>
          <w:tcPr>
            <w:tcW w:w="155" w:type="pct"/>
            <w:tcBorders>
              <w:top w:val="single" w:sz="4" w:space="0" w:color="auto"/>
              <w:left w:val="single" w:sz="4" w:space="0" w:color="auto"/>
              <w:bottom w:val="single" w:sz="4" w:space="0" w:color="auto"/>
              <w:right w:val="single" w:sz="4" w:space="0" w:color="auto"/>
            </w:tcBorders>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bottom w:val="single" w:sz="4" w:space="0" w:color="auto"/>
              <w:right w:val="single" w:sz="4" w:space="0" w:color="auto"/>
            </w:tcBorders>
          </w:tcPr>
          <w:p w:rsidR="00BF47C2"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bottom w:val="single" w:sz="4" w:space="0" w:color="auto"/>
              <w:right w:val="single" w:sz="4" w:space="0" w:color="auto"/>
            </w:tcBorders>
          </w:tcPr>
          <w:p w:rsidR="00BF47C2"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11</w:t>
            </w:r>
          </w:p>
        </w:tc>
        <w:tc>
          <w:tcPr>
            <w:tcW w:w="487" w:type="pct"/>
            <w:tcBorders>
              <w:top w:val="single" w:sz="4" w:space="0" w:color="auto"/>
              <w:left w:val="single" w:sz="4" w:space="0" w:color="auto"/>
              <w:bottom w:val="single" w:sz="4" w:space="0" w:color="auto"/>
              <w:right w:val="single" w:sz="4" w:space="0" w:color="auto"/>
            </w:tcBorders>
          </w:tcPr>
          <w:p w:rsidR="00BF47C2" w:rsidRDefault="00BF47C2" w:rsidP="00BF47C2">
            <w:pPr>
              <w:widowControl w:val="0"/>
              <w:autoSpaceDE w:val="0"/>
              <w:autoSpaceDN w:val="0"/>
              <w:adjustRightInd w:val="0"/>
              <w:jc w:val="center"/>
              <w:rPr>
                <w:rFonts w:ascii="Times New Roman" w:hAnsi="Times New Roman" w:cs="Times New Roman"/>
                <w:sz w:val="20"/>
                <w:szCs w:val="20"/>
              </w:rPr>
            </w:pPr>
            <w:proofErr w:type="gramStart"/>
            <w:r>
              <w:rPr>
                <w:rFonts w:ascii="Times New Roman" w:hAnsi="Times New Roman" w:cs="Times New Roman"/>
                <w:sz w:val="20"/>
                <w:szCs w:val="20"/>
              </w:rPr>
              <w:t>5.1.a</w:t>
            </w:r>
            <w:proofErr w:type="gramEnd"/>
          </w:p>
        </w:tc>
        <w:tc>
          <w:tcPr>
            <w:tcW w:w="1773" w:type="pct"/>
            <w:tcBorders>
              <w:top w:val="single" w:sz="4" w:space="0" w:color="auto"/>
              <w:left w:val="single" w:sz="4" w:space="0" w:color="auto"/>
              <w:bottom w:val="single" w:sz="4" w:space="0" w:color="auto"/>
              <w:right w:val="single" w:sz="4" w:space="0" w:color="auto"/>
            </w:tcBorders>
            <w:shd w:val="clear" w:color="auto" w:fill="FFFFFF"/>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Souhlasíme s MF, že jako definice ovládané zahraniční společnosti stačí kontrola 50 %.</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Zpřísňovat tuto hranici v podmínkách ČR, kde je většina společností zahraničními dcerami, nedává smysl, jak píše MF v materiálu.</w:t>
            </w:r>
          </w:p>
        </w:tc>
      </w:tr>
      <w:tr w:rsidR="00BF47C2" w:rsidRPr="007D17BE" w:rsidTr="00BF47C2">
        <w:trPr>
          <w:trHeight w:val="294"/>
        </w:trPr>
        <w:tc>
          <w:tcPr>
            <w:tcW w:w="155" w:type="pct"/>
            <w:tcBorders>
              <w:top w:val="single" w:sz="4" w:space="0" w:color="auto"/>
              <w:left w:val="single" w:sz="4" w:space="0" w:color="auto"/>
              <w:bottom w:val="single" w:sz="4" w:space="0" w:color="auto"/>
              <w:right w:val="single" w:sz="4" w:space="0" w:color="auto"/>
            </w:tcBorders>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bottom w:val="single" w:sz="4" w:space="0" w:color="auto"/>
              <w:right w:val="single" w:sz="4" w:space="0" w:color="auto"/>
            </w:tcBorders>
          </w:tcPr>
          <w:p w:rsidR="00BF47C2"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bottom w:val="single" w:sz="4" w:space="0" w:color="auto"/>
              <w:right w:val="single" w:sz="4" w:space="0" w:color="auto"/>
            </w:tcBorders>
          </w:tcPr>
          <w:p w:rsidR="00BF47C2"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12</w:t>
            </w:r>
          </w:p>
        </w:tc>
        <w:tc>
          <w:tcPr>
            <w:tcW w:w="487" w:type="pct"/>
            <w:tcBorders>
              <w:top w:val="single" w:sz="4" w:space="0" w:color="auto"/>
              <w:left w:val="single" w:sz="4" w:space="0" w:color="auto"/>
              <w:bottom w:val="single" w:sz="4" w:space="0" w:color="auto"/>
              <w:right w:val="single" w:sz="4" w:space="0" w:color="auto"/>
            </w:tcBorders>
          </w:tcPr>
          <w:p w:rsidR="00BF47C2" w:rsidRDefault="00BF47C2" w:rsidP="00BF47C2">
            <w:pPr>
              <w:widowControl w:val="0"/>
              <w:autoSpaceDE w:val="0"/>
              <w:autoSpaceDN w:val="0"/>
              <w:adjustRightInd w:val="0"/>
              <w:jc w:val="center"/>
              <w:rPr>
                <w:rFonts w:ascii="Times New Roman" w:hAnsi="Times New Roman" w:cs="Times New Roman"/>
                <w:sz w:val="20"/>
                <w:szCs w:val="20"/>
              </w:rPr>
            </w:pPr>
            <w:proofErr w:type="gramStart"/>
            <w:r>
              <w:rPr>
                <w:rFonts w:ascii="Times New Roman" w:hAnsi="Times New Roman" w:cs="Times New Roman"/>
                <w:sz w:val="20"/>
                <w:szCs w:val="20"/>
              </w:rPr>
              <w:t>5.1.b</w:t>
            </w:r>
            <w:proofErr w:type="gramEnd"/>
          </w:p>
        </w:tc>
        <w:tc>
          <w:tcPr>
            <w:tcW w:w="1773" w:type="pct"/>
            <w:tcBorders>
              <w:top w:val="single" w:sz="4" w:space="0" w:color="auto"/>
              <w:left w:val="single" w:sz="4" w:space="0" w:color="auto"/>
              <w:bottom w:val="single" w:sz="4" w:space="0" w:color="auto"/>
              <w:right w:val="single" w:sz="4" w:space="0" w:color="auto"/>
            </w:tcBorders>
            <w:shd w:val="clear" w:color="auto" w:fill="FFFFFF"/>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Hranice 50 % daňového zatížení ČR (tj. 9,5 %) pro CFC pravidla je dostatečná. Nejsme pro její zpřísňování.</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Jak uvádí materiál MF, většina daňových rájů má daňovou sazbu nižší než 9,5 %. Tato hranice je tedy dostatečná. Jejím zpřísňováním by pod CFC pravidla mohly spadnou</w:t>
            </w:r>
            <w:r w:rsidR="00951DA7">
              <w:rPr>
                <w:rFonts w:ascii="Times New Roman" w:hAnsi="Times New Roman" w:cs="Times New Roman"/>
                <w:sz w:val="20"/>
                <w:szCs w:val="20"/>
              </w:rPr>
              <w:t>t</w:t>
            </w:r>
            <w:r>
              <w:rPr>
                <w:rFonts w:ascii="Times New Roman" w:hAnsi="Times New Roman" w:cs="Times New Roman"/>
                <w:sz w:val="20"/>
                <w:szCs w:val="20"/>
              </w:rPr>
              <w:t xml:space="preserve"> i země EU (např. Bulharsko, Irsko a další). I tak pod CFC pravidla pravděpodobně spadne Maďarsko, které plánuje zavést jednu sazbu DPPO 9 %.</w:t>
            </w:r>
          </w:p>
        </w:tc>
      </w:tr>
      <w:tr w:rsidR="00BF47C2" w:rsidRPr="007D17BE" w:rsidTr="00BF47C2">
        <w:trPr>
          <w:trHeight w:val="294"/>
        </w:trPr>
        <w:tc>
          <w:tcPr>
            <w:tcW w:w="155" w:type="pct"/>
            <w:tcBorders>
              <w:top w:val="single" w:sz="4" w:space="0" w:color="auto"/>
              <w:left w:val="single" w:sz="4" w:space="0" w:color="auto"/>
              <w:bottom w:val="single" w:sz="4" w:space="0" w:color="auto"/>
              <w:right w:val="single" w:sz="4" w:space="0" w:color="auto"/>
            </w:tcBorders>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bottom w:val="single" w:sz="4" w:space="0" w:color="auto"/>
              <w:right w:val="single" w:sz="4" w:space="0" w:color="auto"/>
            </w:tcBorders>
          </w:tcPr>
          <w:p w:rsidR="00BF47C2"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bottom w:val="single" w:sz="4" w:space="0" w:color="auto"/>
              <w:right w:val="single" w:sz="4" w:space="0" w:color="auto"/>
            </w:tcBorders>
          </w:tcPr>
          <w:p w:rsidR="00BF47C2" w:rsidRDefault="00BF47C2" w:rsidP="00BF47C2">
            <w:pPr>
              <w:ind w:left="142"/>
              <w:jc w:val="center"/>
              <w:rPr>
                <w:rFonts w:ascii="Times New Roman" w:hAnsi="Times New Roman" w:cs="Times New Roman"/>
                <w:sz w:val="20"/>
                <w:szCs w:val="20"/>
              </w:rPr>
            </w:pPr>
            <w:r>
              <w:rPr>
                <w:rFonts w:ascii="Times New Roman" w:hAnsi="Times New Roman" w:cs="Times New Roman"/>
                <w:sz w:val="20"/>
                <w:szCs w:val="20"/>
              </w:rPr>
              <w:t>13</w:t>
            </w:r>
          </w:p>
        </w:tc>
        <w:tc>
          <w:tcPr>
            <w:tcW w:w="487" w:type="pct"/>
            <w:tcBorders>
              <w:top w:val="single" w:sz="4" w:space="0" w:color="auto"/>
              <w:left w:val="single" w:sz="4" w:space="0" w:color="auto"/>
              <w:bottom w:val="single" w:sz="4" w:space="0" w:color="auto"/>
              <w:right w:val="single" w:sz="4" w:space="0" w:color="auto"/>
            </w:tcBorders>
          </w:tcPr>
          <w:p w:rsidR="00BF47C2" w:rsidRDefault="00BF47C2" w:rsidP="00BF47C2">
            <w:pPr>
              <w:widowControl w:val="0"/>
              <w:autoSpaceDE w:val="0"/>
              <w:autoSpaceDN w:val="0"/>
              <w:adjustRightInd w:val="0"/>
              <w:jc w:val="center"/>
              <w:rPr>
                <w:rFonts w:ascii="Times New Roman" w:hAnsi="Times New Roman" w:cs="Times New Roman"/>
                <w:sz w:val="20"/>
                <w:szCs w:val="20"/>
              </w:rPr>
            </w:pPr>
            <w:proofErr w:type="gramStart"/>
            <w:r>
              <w:rPr>
                <w:rFonts w:ascii="Times New Roman" w:hAnsi="Times New Roman" w:cs="Times New Roman"/>
                <w:sz w:val="20"/>
                <w:szCs w:val="20"/>
              </w:rPr>
              <w:t>5.2.a, 5.2</w:t>
            </w:r>
            <w:proofErr w:type="gramEnd"/>
            <w:r>
              <w:rPr>
                <w:rFonts w:ascii="Times New Roman" w:hAnsi="Times New Roman" w:cs="Times New Roman"/>
                <w:sz w:val="20"/>
                <w:szCs w:val="20"/>
              </w:rPr>
              <w:t>.c a 5.2.d</w:t>
            </w:r>
          </w:p>
        </w:tc>
        <w:tc>
          <w:tcPr>
            <w:tcW w:w="1773" w:type="pct"/>
            <w:tcBorders>
              <w:top w:val="single" w:sz="4" w:space="0" w:color="auto"/>
              <w:left w:val="single" w:sz="4" w:space="0" w:color="auto"/>
              <w:bottom w:val="single" w:sz="4" w:space="0" w:color="auto"/>
              <w:right w:val="single" w:sz="4" w:space="0" w:color="auto"/>
            </w:tcBorders>
            <w:shd w:val="clear" w:color="auto" w:fill="FFFFFF"/>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Podporujeme variantu A.</w:t>
            </w:r>
          </w:p>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 xml:space="preserve">Výjimky </w:t>
            </w:r>
            <w:proofErr w:type="gramStart"/>
            <w:r>
              <w:rPr>
                <w:rFonts w:ascii="Times New Roman" w:hAnsi="Times New Roman" w:cs="Times New Roman"/>
                <w:sz w:val="20"/>
                <w:szCs w:val="20"/>
              </w:rPr>
              <w:t>5.2.c a 5.2</w:t>
            </w:r>
            <w:proofErr w:type="gramEnd"/>
            <w:r>
              <w:rPr>
                <w:rFonts w:ascii="Times New Roman" w:hAnsi="Times New Roman" w:cs="Times New Roman"/>
                <w:sz w:val="20"/>
                <w:szCs w:val="20"/>
              </w:rPr>
              <w:t>.d. podporujeme.</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Jakkoliv varianta B se zdá ekonomicky logičtější, protože aplikuje pravidlo CFC na umělé transakce bez ekonomické podstaty, byla by administrativně náročná i pro poplatníky, protože by se musela posuzovat každá transakce individuálně. Varianta A dává větší jistotu poplatníkům (taxativně vymezené transakce spadající pod CFC pravidla), proto ji podporujeme.</w:t>
            </w:r>
          </w:p>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 xml:space="preserve">Ve variantě A leží důkazní břemeno na straně poplatníka, což je problematické. V případě extrémní aplikace by se mohlo stát, že české firmy by musely vypočítávat daňové zatížení svých zahraničních dcer podle českých právních předpisů (pro kontrolu, jestli nespadají pod CFC pravidla), což by </w:t>
            </w:r>
            <w:r>
              <w:rPr>
                <w:rFonts w:ascii="Times New Roman" w:hAnsi="Times New Roman" w:cs="Times New Roman"/>
                <w:sz w:val="20"/>
                <w:szCs w:val="20"/>
              </w:rPr>
              <w:lastRenderedPageBreak/>
              <w:t xml:space="preserve">bylo extrémně administrativně náročné. Velmi se přimlouváme za to, aby Finanční správa ve své aplikační praxi zkoumala jen statutární sazby v zemích, kde působí zahraniční dcery českých firem, a ne daňové zatížení podle </w:t>
            </w:r>
            <w:r w:rsidR="00951DA7">
              <w:rPr>
                <w:rFonts w:ascii="Times New Roman" w:hAnsi="Times New Roman" w:cs="Times New Roman"/>
                <w:sz w:val="20"/>
                <w:szCs w:val="20"/>
              </w:rPr>
              <w:t xml:space="preserve">českých předpisů. Výjimky </w:t>
            </w:r>
            <w:proofErr w:type="gramStart"/>
            <w:r w:rsidR="00951DA7">
              <w:rPr>
                <w:rFonts w:ascii="Times New Roman" w:hAnsi="Times New Roman" w:cs="Times New Roman"/>
                <w:sz w:val="20"/>
                <w:szCs w:val="20"/>
              </w:rPr>
              <w:t xml:space="preserve">5.2.c </w:t>
            </w:r>
            <w:r>
              <w:rPr>
                <w:rFonts w:ascii="Times New Roman" w:hAnsi="Times New Roman" w:cs="Times New Roman"/>
                <w:sz w:val="20"/>
                <w:szCs w:val="20"/>
              </w:rPr>
              <w:t>a 5.2</w:t>
            </w:r>
            <w:proofErr w:type="gramEnd"/>
            <w:r>
              <w:rPr>
                <w:rFonts w:ascii="Times New Roman" w:hAnsi="Times New Roman" w:cs="Times New Roman"/>
                <w:sz w:val="20"/>
                <w:szCs w:val="20"/>
              </w:rPr>
              <w:t>.d.</w:t>
            </w:r>
            <w:r w:rsidR="00951DA7">
              <w:rPr>
                <w:rFonts w:ascii="Times New Roman" w:hAnsi="Times New Roman" w:cs="Times New Roman"/>
                <w:sz w:val="20"/>
                <w:szCs w:val="20"/>
              </w:rPr>
              <w:t xml:space="preserve"> </w:t>
            </w:r>
            <w:r>
              <w:rPr>
                <w:rFonts w:ascii="Times New Roman" w:hAnsi="Times New Roman" w:cs="Times New Roman"/>
                <w:sz w:val="20"/>
                <w:szCs w:val="20"/>
              </w:rPr>
              <w:t>proto podporujeme, protože umožní snížit administrativní zátěž spojenou s aplikací CFC pravidel.</w:t>
            </w:r>
          </w:p>
        </w:tc>
      </w:tr>
      <w:tr w:rsidR="00BF47C2" w:rsidRPr="007D17BE" w:rsidTr="00BF47C2">
        <w:trPr>
          <w:trHeight w:val="294"/>
        </w:trPr>
        <w:tc>
          <w:tcPr>
            <w:tcW w:w="155" w:type="pct"/>
            <w:tcBorders>
              <w:top w:val="single" w:sz="4" w:space="0" w:color="auto"/>
              <w:left w:val="single" w:sz="4" w:space="0" w:color="auto"/>
              <w:right w:val="single" w:sz="4" w:space="0" w:color="auto"/>
            </w:tcBorders>
          </w:tcPr>
          <w:p w:rsidR="00BF47C2" w:rsidRPr="00A25E95" w:rsidRDefault="00BF47C2" w:rsidP="00BF47C2">
            <w:pPr>
              <w:ind w:left="-142" w:right="-59"/>
              <w:jc w:val="center"/>
              <w:rPr>
                <w:rFonts w:ascii="Times New Roman" w:hAnsi="Times New Roman" w:cs="Times New Roman"/>
                <w:sz w:val="20"/>
                <w:szCs w:val="20"/>
                <w:highlight w:val="lightGray"/>
              </w:rPr>
            </w:pPr>
          </w:p>
        </w:tc>
        <w:tc>
          <w:tcPr>
            <w:tcW w:w="513" w:type="pct"/>
            <w:tcBorders>
              <w:top w:val="single" w:sz="4" w:space="0" w:color="auto"/>
              <w:left w:val="single" w:sz="4" w:space="0" w:color="auto"/>
              <w:right w:val="single" w:sz="4" w:space="0" w:color="auto"/>
            </w:tcBorders>
          </w:tcPr>
          <w:p w:rsidR="00BF47C2" w:rsidRDefault="00BF47C2" w:rsidP="00BF47C2">
            <w:pPr>
              <w:jc w:val="center"/>
              <w:rPr>
                <w:rFonts w:ascii="Times New Roman" w:hAnsi="Times New Roman" w:cs="Times New Roman"/>
                <w:sz w:val="20"/>
                <w:szCs w:val="20"/>
              </w:rPr>
            </w:pPr>
            <w:r>
              <w:rPr>
                <w:rFonts w:ascii="Times New Roman" w:hAnsi="Times New Roman" w:cs="Times New Roman"/>
                <w:sz w:val="20"/>
                <w:szCs w:val="20"/>
              </w:rPr>
              <w:t>SP ČR</w:t>
            </w:r>
          </w:p>
        </w:tc>
        <w:tc>
          <w:tcPr>
            <w:tcW w:w="233" w:type="pct"/>
            <w:tcBorders>
              <w:top w:val="single" w:sz="4" w:space="0" w:color="auto"/>
              <w:left w:val="single" w:sz="4" w:space="0" w:color="auto"/>
              <w:right w:val="single" w:sz="4" w:space="0" w:color="auto"/>
            </w:tcBorders>
          </w:tcPr>
          <w:p w:rsidR="00BF47C2" w:rsidRDefault="00BF47C2" w:rsidP="00BF47C2">
            <w:pPr>
              <w:ind w:left="142"/>
              <w:rPr>
                <w:rFonts w:ascii="Times New Roman" w:hAnsi="Times New Roman" w:cs="Times New Roman"/>
                <w:sz w:val="20"/>
                <w:szCs w:val="20"/>
              </w:rPr>
            </w:pPr>
            <w:r>
              <w:rPr>
                <w:rFonts w:ascii="Times New Roman" w:hAnsi="Times New Roman" w:cs="Times New Roman"/>
                <w:sz w:val="20"/>
                <w:szCs w:val="20"/>
              </w:rPr>
              <w:t>14</w:t>
            </w:r>
          </w:p>
        </w:tc>
        <w:tc>
          <w:tcPr>
            <w:tcW w:w="487" w:type="pct"/>
            <w:tcBorders>
              <w:top w:val="single" w:sz="4" w:space="0" w:color="auto"/>
              <w:left w:val="single" w:sz="4" w:space="0" w:color="auto"/>
              <w:right w:val="single" w:sz="4" w:space="0" w:color="auto"/>
            </w:tcBorders>
          </w:tcPr>
          <w:p w:rsidR="00BF47C2" w:rsidRDefault="00BF47C2" w:rsidP="00BF47C2">
            <w:pPr>
              <w:widowControl w:val="0"/>
              <w:autoSpaceDE w:val="0"/>
              <w:autoSpaceDN w:val="0"/>
              <w:adjustRightInd w:val="0"/>
              <w:jc w:val="center"/>
              <w:rPr>
                <w:rFonts w:ascii="Times New Roman" w:hAnsi="Times New Roman" w:cs="Times New Roman"/>
                <w:sz w:val="20"/>
                <w:szCs w:val="20"/>
              </w:rPr>
            </w:pPr>
            <w:proofErr w:type="gramStart"/>
            <w:r>
              <w:rPr>
                <w:rFonts w:ascii="Times New Roman" w:hAnsi="Times New Roman" w:cs="Times New Roman"/>
                <w:sz w:val="20"/>
                <w:szCs w:val="20"/>
              </w:rPr>
              <w:t>6.8.a a 6.8</w:t>
            </w:r>
            <w:proofErr w:type="gramEnd"/>
            <w:r>
              <w:rPr>
                <w:rFonts w:ascii="Times New Roman" w:hAnsi="Times New Roman" w:cs="Times New Roman"/>
                <w:sz w:val="20"/>
                <w:szCs w:val="20"/>
              </w:rPr>
              <w:t>.b</w:t>
            </w:r>
          </w:p>
        </w:tc>
        <w:tc>
          <w:tcPr>
            <w:tcW w:w="1773" w:type="pct"/>
            <w:tcBorders>
              <w:top w:val="single" w:sz="4" w:space="0" w:color="auto"/>
              <w:left w:val="single" w:sz="4" w:space="0" w:color="auto"/>
              <w:bottom w:val="single" w:sz="4" w:space="0" w:color="auto"/>
              <w:right w:val="single" w:sz="4" w:space="0" w:color="auto"/>
            </w:tcBorders>
            <w:shd w:val="clear" w:color="auto" w:fill="FFFFFF"/>
          </w:tcPr>
          <w:p w:rsidR="00BF47C2" w:rsidRDefault="00BF47C2" w:rsidP="00BF47C2">
            <w:pPr>
              <w:jc w:val="both"/>
              <w:rPr>
                <w:rFonts w:ascii="Times New Roman" w:hAnsi="Times New Roman" w:cs="Times New Roman"/>
                <w:sz w:val="20"/>
                <w:szCs w:val="20"/>
              </w:rPr>
            </w:pPr>
            <w:r>
              <w:rPr>
                <w:rFonts w:ascii="Times New Roman" w:hAnsi="Times New Roman" w:cs="Times New Roman"/>
                <w:sz w:val="20"/>
                <w:szCs w:val="20"/>
              </w:rPr>
              <w:t xml:space="preserve">Vzhledem k technické složitosti </w:t>
            </w:r>
            <w:proofErr w:type="spellStart"/>
            <w:r>
              <w:rPr>
                <w:rFonts w:ascii="Times New Roman" w:hAnsi="Times New Roman" w:cs="Times New Roman"/>
                <w:sz w:val="20"/>
                <w:szCs w:val="20"/>
              </w:rPr>
              <w:t>protihybridních</w:t>
            </w:r>
            <w:proofErr w:type="spellEnd"/>
            <w:r>
              <w:rPr>
                <w:rFonts w:ascii="Times New Roman" w:hAnsi="Times New Roman" w:cs="Times New Roman"/>
                <w:sz w:val="20"/>
                <w:szCs w:val="20"/>
              </w:rPr>
              <w:t xml:space="preserve"> pravidel se kloníme k tomu, aby všechna </w:t>
            </w:r>
            <w:proofErr w:type="spellStart"/>
            <w:r>
              <w:rPr>
                <w:rFonts w:ascii="Times New Roman" w:hAnsi="Times New Roman" w:cs="Times New Roman"/>
                <w:sz w:val="20"/>
                <w:szCs w:val="20"/>
              </w:rPr>
              <w:t>protihybridní</w:t>
            </w:r>
            <w:proofErr w:type="spellEnd"/>
            <w:r>
              <w:rPr>
                <w:rFonts w:ascii="Times New Roman" w:hAnsi="Times New Roman" w:cs="Times New Roman"/>
                <w:sz w:val="20"/>
                <w:szCs w:val="20"/>
              </w:rPr>
              <w:t xml:space="preserve"> pravidla byla účinná v nejzazším možném termínu, tj. pravidla proti hybridním nesouladům k 1. 1. 2020 (u finančních institucí až od 1. 1. 2022) a pravidla proti reverzním hybridním nesouladům k 1. 1. 2022.</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F47C2" w:rsidRDefault="00BF47C2" w:rsidP="00BF47C2">
            <w:pPr>
              <w:jc w:val="both"/>
              <w:rPr>
                <w:rFonts w:ascii="Times New Roman" w:hAnsi="Times New Roman" w:cs="Times New Roman"/>
                <w:sz w:val="20"/>
                <w:szCs w:val="20"/>
              </w:rPr>
            </w:pPr>
          </w:p>
        </w:tc>
      </w:tr>
    </w:tbl>
    <w:p w:rsidR="008D499F" w:rsidRPr="00C13858" w:rsidRDefault="008D499F" w:rsidP="00C13858">
      <w:pPr>
        <w:autoSpaceDE w:val="0"/>
        <w:autoSpaceDN w:val="0"/>
        <w:adjustRightInd w:val="0"/>
        <w:spacing w:after="0" w:line="288" w:lineRule="auto"/>
        <w:jc w:val="both"/>
        <w:textAlignment w:val="center"/>
        <w:rPr>
          <w:color w:val="404040" w:themeColor="text1" w:themeTint="BF"/>
        </w:rPr>
      </w:pPr>
    </w:p>
    <w:sectPr w:rsidR="008D499F" w:rsidRPr="00C13858" w:rsidSect="004B2742">
      <w:headerReference w:type="first" r:id="rId7"/>
      <w:footerReference w:type="first" r:id="rId8"/>
      <w:pgSz w:w="11906" w:h="16838"/>
      <w:pgMar w:top="1418" w:right="1134" w:bottom="1418" w:left="1134" w:header="709" w:footer="19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7C2" w:rsidRDefault="00BF47C2" w:rsidP="005F7548">
      <w:pPr>
        <w:spacing w:after="0" w:line="240" w:lineRule="auto"/>
      </w:pPr>
      <w:r>
        <w:separator/>
      </w:r>
    </w:p>
  </w:endnote>
  <w:endnote w:type="continuationSeparator" w:id="0">
    <w:p w:rsidR="00BF47C2" w:rsidRDefault="00BF47C2" w:rsidP="005F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2" w:rsidRDefault="00BF47C2">
    <w:pPr>
      <w:pStyle w:val="Zpat"/>
    </w:pPr>
    <w:r>
      <w:rPr>
        <w:noProof/>
        <w:lang w:eastAsia="cs-CZ"/>
      </w:rPr>
      <w:pict>
        <v:shapetype id="_x0000_t202" coordsize="21600,21600" o:spt="202" path="m,l,21600r21600,l21600,xe">
          <v:stroke joinstyle="miter"/>
          <v:path gradientshapeok="t" o:connecttype="rect"/>
        </v:shapetype>
        <v:shape id="Textové pole 6" o:spid="_x0000_s2051" type="#_x0000_t202" style="position:absolute;margin-left:357.2pt;margin-top:20.4pt;width:33.75pt;height:18.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" fillcolor="white [3201]" stroked="f" strokeweight=".5pt">
          <v:textbox inset="0,,0">
            <w:txbxContent>
              <w:p w:rsidR="00BF47C2" w:rsidRPr="00000194" w:rsidRDefault="00BF47C2" w:rsidP="00AA09C1">
                <w:pPr>
                  <w:pStyle w:val="Zkladnodstavec"/>
                  <w:rPr>
                    <w:rFonts w:ascii="Calibri" w:hAnsi="Calibri" w:cs="Calibri"/>
                    <w:caps/>
                    <w:color w:val="0093D6"/>
                    <w:sz w:val="12"/>
                    <w:szCs w:val="12"/>
                  </w:rPr>
                </w:pPr>
                <w:r w:rsidRPr="00000194">
                  <w:rPr>
                    <w:rFonts w:ascii="Calibri" w:hAnsi="Calibri" w:cs="Calibri"/>
                    <w:caps/>
                    <w:color w:val="0093D6"/>
                    <w:sz w:val="12"/>
                    <w:szCs w:val="12"/>
                  </w:rPr>
                  <w:t>člen</w:t>
                </w:r>
              </w:p>
            </w:txbxContent>
          </v:textbox>
        </v:shape>
      </w:pict>
    </w:r>
    <w:r>
      <w:rPr>
        <w:noProof/>
        <w:lang w:eastAsia="cs-CZ"/>
      </w:rPr>
      <w:drawing>
        <wp:anchor distT="0" distB="0" distL="114300" distR="114300" simplePos="0" relativeHeight="251660288" behindDoc="0" locked="0" layoutInCell="1" allowOverlap="1">
          <wp:simplePos x="0" y="0"/>
          <wp:positionH relativeFrom="column">
            <wp:posOffset>4900295</wp:posOffset>
          </wp:positionH>
          <wp:positionV relativeFrom="paragraph">
            <wp:posOffset>323850</wp:posOffset>
          </wp:positionV>
          <wp:extent cx="1170000" cy="21600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urope.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0000" cy="216000"/>
                  </a:xfrm>
                  <a:prstGeom prst="rect">
                    <a:avLst/>
                  </a:prstGeom>
                </pic:spPr>
              </pic:pic>
            </a:graphicData>
          </a:graphic>
        </wp:anchor>
      </w:drawing>
    </w:r>
    <w:r>
      <w:rPr>
        <w:noProof/>
        <w:lang w:eastAsia="cs-CZ"/>
      </w:rPr>
      <w:pict>
        <v:shape id="Textové pole 5" o:spid="_x0000_s2050" type="#_x0000_t202" style="position:absolute;margin-left:2.25pt;margin-top:20.4pt;width:327.7pt;height:82.7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" fillcolor="white [3201]" stroked="f" strokeweight=".5pt">
          <v:textbox inset="0,,0">
            <w:txbxContent>
              <w:p w:rsidR="00BF47C2" w:rsidRDefault="00BF47C2" w:rsidP="00AA09C1">
                <w:pPr>
                  <w:pStyle w:val="Zkladnodstavec"/>
                  <w:rPr>
                    <w:rFonts w:ascii="Calibri" w:hAnsi="Calibri" w:cs="Calibri"/>
                    <w:caps/>
                    <w:color w:val="0092D5"/>
                    <w:sz w:val="12"/>
                    <w:szCs w:val="12"/>
                  </w:rPr>
                </w:pPr>
                <w:r w:rsidRPr="00000194">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(+420) 225 279 111</w:t>
                </w:r>
                <w:r>
                  <w:rPr>
                    <w:rFonts w:ascii="Calibri" w:hAnsi="Calibri" w:cs="Calibri"/>
                    <w:caps/>
                    <w:color w:val="0092D5"/>
                    <w:sz w:val="12"/>
                    <w:szCs w:val="12"/>
                  </w:rPr>
                  <w:t xml:space="preserve">  </w:t>
                </w:r>
                <w:r w:rsidRPr="00000194">
                  <w:rPr>
                    <w:rFonts w:ascii="Calibri" w:hAnsi="Calibri" w:cs="Calibri"/>
                    <w:caps/>
                    <w:color w:val="0093D6"/>
                    <w:sz w:val="12"/>
                    <w:szCs w:val="12"/>
                  </w:rPr>
                  <w:t xml:space="preserve">|  E-mail  </w:t>
                </w:r>
                <w:r>
                  <w:rPr>
                    <w:rFonts w:ascii="Calibri" w:hAnsi="Calibri" w:cs="Calibri"/>
                    <w:caps/>
                    <w:color w:val="272154"/>
                    <w:sz w:val="16"/>
                    <w:szCs w:val="16"/>
                  </w:rPr>
                  <w:t>spcr@spcr.cz</w:t>
                </w:r>
              </w:p>
              <w:p w:rsidR="00BF47C2" w:rsidRPr="00820FF9" w:rsidRDefault="00BF47C2" w:rsidP="00945BF2">
                <w:pPr>
                  <w:rPr>
                    <w:caps/>
                  </w:rPr>
                </w:pPr>
                <w:r w:rsidRPr="00000194">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r>
                  <w:rPr>
                    <w:rFonts w:ascii="Calibri" w:hAnsi="Calibri" w:cs="Calibri"/>
                    <w:caps/>
                    <w:color w:val="0092D5"/>
                    <w:sz w:val="12"/>
                    <w:szCs w:val="12"/>
                  </w:rPr>
                  <w:t xml:space="preserve">  </w:t>
                </w:r>
                <w:r w:rsidRPr="00000194">
                  <w:rPr>
                    <w:rFonts w:ascii="Calibri" w:hAnsi="Calibri" w:cs="Calibri"/>
                    <w:caps/>
                    <w:color w:val="0093D6"/>
                    <w:sz w:val="12"/>
                    <w:szCs w:val="12"/>
                  </w:rPr>
                  <w:t xml:space="preserve">|  Adresa  </w:t>
                </w:r>
                <w:r>
                  <w:rPr>
                    <w:rFonts w:ascii="Calibri" w:hAnsi="Calibri" w:cs="Calibri"/>
                    <w:caps/>
                    <w:color w:val="272154"/>
                    <w:sz w:val="16"/>
                    <w:szCs w:val="16"/>
                  </w:rPr>
                  <w:t>Freyova 948/11, 190 00 Praha 9</w:t>
                </w:r>
                <w:r>
                  <w:rPr>
                    <w:rFonts w:ascii="Calibri" w:hAnsi="Calibri" w:cs="Calibri"/>
                    <w:caps/>
                    <w:color w:val="272154"/>
                    <w:sz w:val="16"/>
                    <w:szCs w:val="16"/>
                  </w:rPr>
                  <w:br/>
                </w:r>
                <w:r w:rsidRPr="00000194">
                  <w:rPr>
                    <w:rFonts w:ascii="Calibri" w:hAnsi="Calibri" w:cs="Calibri"/>
                    <w:caps/>
                    <w:color w:val="0093D6"/>
                    <w:sz w:val="12"/>
                    <w:szCs w:val="12"/>
                  </w:rPr>
                  <w:t xml:space="preserve">Zapsaný ve spolkovém rejstříku, vedeném Městským soudem v Praze oddíl L, vložka 3148. </w:t>
                </w:r>
                <w:r w:rsidRPr="00000194">
                  <w:rPr>
                    <w:rFonts w:ascii="Calibri" w:hAnsi="Calibri" w:cs="Calibri"/>
                    <w:caps/>
                    <w:color w:val="0093D6"/>
                    <w:sz w:val="12"/>
                    <w:szCs w:val="12"/>
                  </w:rPr>
                  <w:br/>
                  <w:t>IČ</w:t>
                </w:r>
                <w:r>
                  <w:rPr>
                    <w:rFonts w:ascii="Calibri" w:hAnsi="Calibri" w:cs="Calibri"/>
                    <w:caps/>
                    <w:color w:val="0093D6"/>
                    <w:sz w:val="12"/>
                    <w:szCs w:val="12"/>
                  </w:rPr>
                  <w:t>O</w:t>
                </w:r>
                <w:r w:rsidRPr="00000194">
                  <w:rPr>
                    <w:rFonts w:ascii="Calibri" w:hAnsi="Calibri" w:cs="Calibri"/>
                    <w:caps/>
                    <w:color w:val="0093D6"/>
                    <w:sz w:val="12"/>
                    <w:szCs w:val="12"/>
                  </w:rPr>
                  <w:t>: 00536211, DIČ: CZ00536211.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7C2" w:rsidRDefault="00BF47C2" w:rsidP="005F7548">
      <w:pPr>
        <w:spacing w:after="0" w:line="240" w:lineRule="auto"/>
      </w:pPr>
      <w:r>
        <w:separator/>
      </w:r>
    </w:p>
  </w:footnote>
  <w:footnote w:type="continuationSeparator" w:id="0">
    <w:p w:rsidR="00BF47C2" w:rsidRDefault="00BF47C2" w:rsidP="005F7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2" w:rsidRDefault="00BF47C2">
    <w:pPr>
      <w:pStyle w:val="Zhlav"/>
    </w:pPr>
    <w:r>
      <w:rPr>
        <w:noProof/>
        <w:lang w:eastAsia="cs-CZ"/>
      </w:rPr>
      <w:pict>
        <v:shapetype id="_x0000_t202" coordsize="21600,21600" o:spt="202" path="m,l,21600r21600,l21600,xe">
          <v:stroke joinstyle="miter"/>
          <v:path gradientshapeok="t" o:connecttype="rect"/>
        </v:shapetype>
        <v:shape id="Textové pole 4" o:spid="_x0000_s2049" type="#_x0000_t202" style="position:absolute;margin-left:347.75pt;margin-top:96.65pt;width:134.75pt;height:37.4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" fillcolor="white [3201]" stroked="f" strokeweight=".5pt">
          <v:textbox inset="0,,0">
            <w:txbxContent>
              <w:p w:rsidR="00BF47C2" w:rsidRPr="00000194" w:rsidRDefault="00BF47C2" w:rsidP="00AA09C1">
                <w:pPr>
                  <w:pStyle w:val="Zkladnodstavec"/>
                  <w:rPr>
                    <w:rFonts w:ascii="Calibri" w:hAnsi="Calibri" w:cs="Calibri"/>
                    <w:caps/>
                    <w:color w:val="0093D6"/>
                    <w:sz w:val="18"/>
                    <w:szCs w:val="18"/>
                  </w:rPr>
                </w:pPr>
                <w:r>
                  <w:rPr>
                    <w:rFonts w:ascii="Calibri" w:hAnsi="Calibri" w:cs="Calibri"/>
                    <w:caps/>
                    <w:color w:val="0093D6"/>
                    <w:sz w:val="18"/>
                    <w:szCs w:val="18"/>
                  </w:rPr>
                  <w:t xml:space="preserve">V Praze dne </w:t>
                </w:r>
                <w:r w:rsidR="004C66DD">
                  <w:rPr>
                    <w:rFonts w:ascii="Calibri" w:hAnsi="Calibri" w:cs="Calibri"/>
                    <w:caps/>
                    <w:color w:val="0093D6"/>
                    <w:sz w:val="18"/>
                    <w:szCs w:val="18"/>
                  </w:rPr>
                  <w:t>28</w:t>
                </w:r>
                <w:r w:rsidRPr="00000194">
                  <w:rPr>
                    <w:rFonts w:ascii="Calibri" w:hAnsi="Calibri" w:cs="Calibri"/>
                    <w:caps/>
                    <w:color w:val="0093D6"/>
                    <w:sz w:val="18"/>
                    <w:szCs w:val="18"/>
                  </w:rPr>
                  <w:t xml:space="preserve">. </w:t>
                </w:r>
                <w:r w:rsidR="004C66DD">
                  <w:rPr>
                    <w:rFonts w:ascii="Calibri" w:hAnsi="Calibri" w:cs="Calibri"/>
                    <w:caps/>
                    <w:color w:val="0093D6"/>
                    <w:sz w:val="18"/>
                    <w:szCs w:val="18"/>
                  </w:rPr>
                  <w:t>dubna</w:t>
                </w:r>
                <w:r w:rsidRPr="00000194">
                  <w:rPr>
                    <w:rFonts w:ascii="Calibri" w:hAnsi="Calibri" w:cs="Calibri"/>
                    <w:caps/>
                    <w:color w:val="0093D6"/>
                    <w:sz w:val="18"/>
                    <w:szCs w:val="18"/>
                  </w:rPr>
                  <w:t xml:space="preserve"> 201</w:t>
                </w:r>
                <w:r w:rsidR="004C66DD">
                  <w:rPr>
                    <w:rFonts w:ascii="Calibri" w:hAnsi="Calibri" w:cs="Calibri"/>
                    <w:caps/>
                    <w:color w:val="0093D6"/>
                    <w:sz w:val="18"/>
                    <w:szCs w:val="18"/>
                  </w:rPr>
                  <w:t>7</w:t>
                </w:r>
              </w:p>
            </w:txbxContent>
          </v:textbox>
        </v:shape>
      </w:pict>
    </w:r>
    <w:r>
      <w:rPr>
        <w:noProof/>
        <w:lang w:eastAsia="cs-CZ"/>
      </w:rPr>
      <w:drawing>
        <wp:anchor distT="0" distB="0" distL="114300" distR="114300" simplePos="0" relativeHeight="251661312" behindDoc="0" locked="0" layoutInCell="1" allowOverlap="1">
          <wp:simplePos x="0" y="0"/>
          <wp:positionH relativeFrom="column">
            <wp:posOffset>35560</wp:posOffset>
          </wp:positionH>
          <wp:positionV relativeFrom="paragraph">
            <wp:posOffset>236220</wp:posOffset>
          </wp:positionV>
          <wp:extent cx="23544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4400" cy="7200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5F7548"/>
    <w:rsid w:val="00000194"/>
    <w:rsid w:val="00050140"/>
    <w:rsid w:val="000776E8"/>
    <w:rsid w:val="000B7121"/>
    <w:rsid w:val="001367E1"/>
    <w:rsid w:val="00153270"/>
    <w:rsid w:val="001758E8"/>
    <w:rsid w:val="00287421"/>
    <w:rsid w:val="002D471B"/>
    <w:rsid w:val="0042631C"/>
    <w:rsid w:val="004B2742"/>
    <w:rsid w:val="004B33DA"/>
    <w:rsid w:val="004C66DD"/>
    <w:rsid w:val="004E6BEE"/>
    <w:rsid w:val="005E1DBA"/>
    <w:rsid w:val="005F7548"/>
    <w:rsid w:val="00600219"/>
    <w:rsid w:val="0068334C"/>
    <w:rsid w:val="006A4B7F"/>
    <w:rsid w:val="006C45FD"/>
    <w:rsid w:val="00762DC7"/>
    <w:rsid w:val="007717C0"/>
    <w:rsid w:val="00816904"/>
    <w:rsid w:val="00820FF9"/>
    <w:rsid w:val="008722D3"/>
    <w:rsid w:val="008A1133"/>
    <w:rsid w:val="008D499F"/>
    <w:rsid w:val="00924B13"/>
    <w:rsid w:val="00945BF2"/>
    <w:rsid w:val="00951DA7"/>
    <w:rsid w:val="00955BCA"/>
    <w:rsid w:val="00AA09C1"/>
    <w:rsid w:val="00B47845"/>
    <w:rsid w:val="00B95F9C"/>
    <w:rsid w:val="00BD09DA"/>
    <w:rsid w:val="00BF2FC8"/>
    <w:rsid w:val="00BF47C2"/>
    <w:rsid w:val="00C13858"/>
    <w:rsid w:val="00CA3691"/>
    <w:rsid w:val="00D1604B"/>
    <w:rsid w:val="00D42468"/>
    <w:rsid w:val="00D66A14"/>
    <w:rsid w:val="00DA5ACF"/>
    <w:rsid w:val="00E273D6"/>
    <w:rsid w:val="00E63E9C"/>
    <w:rsid w:val="00E65D7C"/>
    <w:rsid w:val="00EC320E"/>
    <w:rsid w:val="00ED0E7F"/>
    <w:rsid w:val="00F10256"/>
    <w:rsid w:val="00F225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17C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lnweb">
    <w:name w:val="Normal (Web)"/>
    <w:basedOn w:val="Normln"/>
    <w:uiPriority w:val="99"/>
    <w:unhideWhenUsed/>
    <w:rsid w:val="00C138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13858"/>
    <w:rPr>
      <w:sz w:val="16"/>
      <w:szCs w:val="16"/>
    </w:rPr>
  </w:style>
  <w:style w:type="paragraph" w:styleId="Textkomente">
    <w:name w:val="annotation text"/>
    <w:basedOn w:val="Normln"/>
    <w:link w:val="TextkomenteChar"/>
    <w:uiPriority w:val="99"/>
    <w:semiHidden/>
    <w:unhideWhenUsed/>
    <w:rsid w:val="00C13858"/>
    <w:pPr>
      <w:spacing w:after="0" w:line="240" w:lineRule="auto"/>
    </w:pPr>
    <w:rPr>
      <w:rFonts w:ascii="Calibri" w:hAnsi="Calibri" w:cs="Times New Roman"/>
      <w:sz w:val="20"/>
      <w:szCs w:val="20"/>
      <w:lang w:eastAsia="cs-CZ"/>
    </w:rPr>
  </w:style>
  <w:style w:type="character" w:customStyle="1" w:styleId="TextkomenteChar">
    <w:name w:val="Text komentáře Char"/>
    <w:basedOn w:val="Standardnpsmoodstavce"/>
    <w:link w:val="Textkomente"/>
    <w:uiPriority w:val="99"/>
    <w:semiHidden/>
    <w:rsid w:val="00C13858"/>
    <w:rPr>
      <w:rFonts w:ascii="Calibri" w:hAnsi="Calibri" w:cs="Times New Roman"/>
      <w:sz w:val="20"/>
      <w:szCs w:val="20"/>
      <w:lang w:eastAsia="cs-CZ"/>
    </w:rPr>
  </w:style>
  <w:style w:type="paragraph" w:styleId="Prosttext">
    <w:name w:val="Plain Text"/>
    <w:basedOn w:val="Normln"/>
    <w:link w:val="ProsttextChar"/>
    <w:uiPriority w:val="99"/>
    <w:semiHidden/>
    <w:unhideWhenUsed/>
    <w:rsid w:val="004C66DD"/>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4C66D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01596531">
      <w:bodyDiv w:val="1"/>
      <w:marLeft w:val="0"/>
      <w:marRight w:val="0"/>
      <w:marTop w:val="0"/>
      <w:marBottom w:val="0"/>
      <w:divBdr>
        <w:top w:val="none" w:sz="0" w:space="0" w:color="auto"/>
        <w:left w:val="none" w:sz="0" w:space="0" w:color="auto"/>
        <w:bottom w:val="none" w:sz="0" w:space="0" w:color="auto"/>
        <w:right w:val="none" w:sz="0" w:space="0" w:color="auto"/>
      </w:divBdr>
    </w:div>
    <w:div w:id="1223633413">
      <w:bodyDiv w:val="1"/>
      <w:marLeft w:val="0"/>
      <w:marRight w:val="0"/>
      <w:marTop w:val="0"/>
      <w:marBottom w:val="0"/>
      <w:divBdr>
        <w:top w:val="none" w:sz="0" w:space="0" w:color="auto"/>
        <w:left w:val="none" w:sz="0" w:space="0" w:color="auto"/>
        <w:bottom w:val="none" w:sz="0" w:space="0" w:color="auto"/>
        <w:right w:val="none" w:sz="0" w:space="0" w:color="auto"/>
      </w:divBdr>
    </w:div>
    <w:div w:id="1639217009">
      <w:bodyDiv w:val="1"/>
      <w:marLeft w:val="0"/>
      <w:marRight w:val="0"/>
      <w:marTop w:val="0"/>
      <w:marBottom w:val="0"/>
      <w:divBdr>
        <w:top w:val="none" w:sz="0" w:space="0" w:color="auto"/>
        <w:left w:val="none" w:sz="0" w:space="0" w:color="auto"/>
        <w:bottom w:val="none" w:sz="0" w:space="0" w:color="auto"/>
        <w:right w:val="none" w:sz="0" w:space="0" w:color="auto"/>
      </w:divBdr>
    </w:div>
    <w:div w:id="18917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D525-6927-45E6-87CD-332481F7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1036</Words>
  <Characters>6113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dc:creator>
  <cp:lastModifiedBy>vfrance</cp:lastModifiedBy>
  <cp:revision>5</cp:revision>
  <dcterms:created xsi:type="dcterms:W3CDTF">2017-04-28T08:31:00Z</dcterms:created>
  <dcterms:modified xsi:type="dcterms:W3CDTF">2017-04-28T08:47:00Z</dcterms:modified>
</cp:coreProperties>
</file>