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1F08D4" w:rsidRDefault="001F08D4"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8D499F" w:rsidRPr="00CB6D24" w:rsidRDefault="00D26275" w:rsidP="00CB6D24">
      <w:pPr>
        <w:autoSpaceDE w:val="0"/>
        <w:autoSpaceDN w:val="0"/>
        <w:adjustRightInd w:val="0"/>
        <w:spacing w:after="0" w:line="288" w:lineRule="auto"/>
        <w:jc w:val="center"/>
        <w:textAlignment w:val="center"/>
        <w:rPr>
          <w:rFonts w:ascii="Calibri" w:hAnsi="Calibri" w:cs="Calibri"/>
          <w:b/>
          <w:color w:val="404040" w:themeColor="text1" w:themeTint="BF"/>
          <w:sz w:val="28"/>
        </w:rPr>
      </w:pPr>
      <w:r w:rsidRPr="00CB6D24">
        <w:rPr>
          <w:rFonts w:ascii="Calibri" w:hAnsi="Calibri" w:cs="Calibri"/>
          <w:b/>
          <w:color w:val="404040" w:themeColor="text1" w:themeTint="BF"/>
          <w:sz w:val="28"/>
        </w:rPr>
        <w:t>Připomínky ke státnímu rozpočtu</w:t>
      </w:r>
    </w:p>
    <w:p w:rsidR="00D26275" w:rsidRDefault="00D26275"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D26275" w:rsidRDefault="00D26275" w:rsidP="002203F3">
      <w:pPr>
        <w:pStyle w:val="Odstavecseseznamem"/>
        <w:numPr>
          <w:ilvl w:val="0"/>
          <w:numId w:val="11"/>
        </w:numPr>
        <w:autoSpaceDE w:val="0"/>
        <w:autoSpaceDN w:val="0"/>
        <w:adjustRightInd w:val="0"/>
        <w:spacing w:after="0" w:line="288" w:lineRule="auto"/>
        <w:jc w:val="both"/>
        <w:textAlignment w:val="center"/>
        <w:rPr>
          <w:rFonts w:ascii="Calibri" w:hAnsi="Calibri" w:cs="Calibri"/>
          <w:b/>
          <w:color w:val="404040" w:themeColor="text1" w:themeTint="BF"/>
          <w:sz w:val="24"/>
          <w:u w:val="single"/>
        </w:rPr>
      </w:pPr>
      <w:r w:rsidRPr="00A0083D">
        <w:rPr>
          <w:rFonts w:ascii="Calibri" w:hAnsi="Calibri" w:cs="Calibri"/>
          <w:b/>
          <w:color w:val="404040" w:themeColor="text1" w:themeTint="BF"/>
          <w:sz w:val="24"/>
          <w:u w:val="single"/>
        </w:rPr>
        <w:t>Základní komentáře</w:t>
      </w:r>
    </w:p>
    <w:p w:rsidR="00A0083D" w:rsidRPr="00600DBE" w:rsidRDefault="00A0083D" w:rsidP="00A0083D">
      <w:pPr>
        <w:pStyle w:val="Odstavecseseznamem"/>
        <w:numPr>
          <w:ilvl w:val="0"/>
          <w:numId w:val="5"/>
        </w:numPr>
        <w:spacing w:after="40" w:line="269" w:lineRule="auto"/>
        <w:jc w:val="both"/>
        <w:rPr>
          <w:color w:val="404040" w:themeColor="text1" w:themeTint="BF"/>
          <w:sz w:val="18"/>
          <w:szCs w:val="18"/>
        </w:rPr>
      </w:pPr>
      <w:r>
        <w:rPr>
          <w:color w:val="404040" w:themeColor="text1" w:themeTint="BF"/>
        </w:rPr>
        <w:t>Obdrženy rozsáhlé</w:t>
      </w:r>
      <w:r w:rsidRPr="00A0083D">
        <w:rPr>
          <w:color w:val="404040" w:themeColor="text1" w:themeTint="BF"/>
        </w:rPr>
        <w:t xml:space="preserve"> soubory podkladů ve standardní podobě, tj. nikoliv v přehledné formě, jak dlouhodobě požadujeme</w:t>
      </w:r>
      <w:r w:rsidR="005A2C97">
        <w:rPr>
          <w:color w:val="404040" w:themeColor="text1" w:themeTint="BF"/>
        </w:rPr>
        <w:t>.</w:t>
      </w:r>
    </w:p>
    <w:p w:rsidR="00600DBE" w:rsidRPr="005A2C97" w:rsidRDefault="00600DBE" w:rsidP="00A0083D">
      <w:pPr>
        <w:pStyle w:val="Odstavecseseznamem"/>
        <w:numPr>
          <w:ilvl w:val="0"/>
          <w:numId w:val="5"/>
        </w:numPr>
        <w:spacing w:after="40" w:line="269" w:lineRule="auto"/>
        <w:jc w:val="both"/>
        <w:rPr>
          <w:color w:val="404040" w:themeColor="text1" w:themeTint="BF"/>
        </w:rPr>
      </w:pPr>
      <w:r>
        <w:rPr>
          <w:color w:val="404040" w:themeColor="text1" w:themeTint="BF"/>
        </w:rPr>
        <w:t xml:space="preserve">Oproti původnímu návrhu, diskutovaném na posledním jednání RHSD, došlo (za krátkou dobu již po druhé) </w:t>
      </w:r>
      <w:r w:rsidR="005A2C97">
        <w:rPr>
          <w:color w:val="404040" w:themeColor="text1" w:themeTint="BF"/>
        </w:rPr>
        <w:t>k dalšímu navýšení výdajů některých kapitol</w:t>
      </w:r>
      <w:r>
        <w:rPr>
          <w:color w:val="404040" w:themeColor="text1" w:themeTint="BF"/>
        </w:rPr>
        <w:t xml:space="preserve">, </w:t>
      </w:r>
      <w:r w:rsidRPr="005A2C97">
        <w:rPr>
          <w:color w:val="404040" w:themeColor="text1" w:themeTint="BF"/>
        </w:rPr>
        <w:t>například pro MPO (dotace OZE a průmyslové zóny), MŠMT či pro oblast do</w:t>
      </w:r>
      <w:r w:rsidR="005A2C97">
        <w:rPr>
          <w:color w:val="404040" w:themeColor="text1" w:themeTint="BF"/>
        </w:rPr>
        <w:t>pravy a výstavbu infrastruktury.</w:t>
      </w:r>
    </w:p>
    <w:p w:rsidR="00A0083D" w:rsidRPr="00A0083D" w:rsidRDefault="00A0083D" w:rsidP="00A0083D">
      <w:pPr>
        <w:pStyle w:val="Odstavecseseznamem"/>
        <w:numPr>
          <w:ilvl w:val="0"/>
          <w:numId w:val="5"/>
        </w:numPr>
        <w:spacing w:after="40" w:line="269" w:lineRule="auto"/>
        <w:jc w:val="both"/>
        <w:rPr>
          <w:color w:val="404040" w:themeColor="text1" w:themeTint="BF"/>
          <w:sz w:val="18"/>
          <w:szCs w:val="18"/>
        </w:rPr>
      </w:pPr>
      <w:r>
        <w:rPr>
          <w:color w:val="404040" w:themeColor="text1" w:themeTint="BF"/>
        </w:rPr>
        <w:t>Od</w:t>
      </w:r>
      <w:r w:rsidRPr="00A0083D">
        <w:rPr>
          <w:color w:val="404040" w:themeColor="text1" w:themeTint="BF"/>
        </w:rPr>
        <w:t xml:space="preserve"> </w:t>
      </w:r>
      <w:hyperlink r:id="rId8" w:history="1">
        <w:r w:rsidRPr="00A0083D">
          <w:rPr>
            <w:color w:val="404040" w:themeColor="text1" w:themeTint="BF"/>
            <w:u w:val="single"/>
          </w:rPr>
          <w:t>připomínek k původně předloženým parametrům</w:t>
        </w:r>
      </w:hyperlink>
      <w:r>
        <w:rPr>
          <w:color w:val="404040" w:themeColor="text1" w:themeTint="BF"/>
        </w:rPr>
        <w:t xml:space="preserve"> nedošlo k žádným významným změnám, kromě čistého navyšování prostředků pro jednotlivé kapitoly dle politických jednání s ministrem financí</w:t>
      </w:r>
      <w:r w:rsidR="005A2C97">
        <w:rPr>
          <w:color w:val="404040" w:themeColor="text1" w:themeTint="BF"/>
        </w:rPr>
        <w:t>.</w:t>
      </w:r>
    </w:p>
    <w:p w:rsidR="00544087" w:rsidRPr="00910908" w:rsidRDefault="00544087" w:rsidP="00A0083D">
      <w:pPr>
        <w:pStyle w:val="Odstavecseseznamem"/>
        <w:numPr>
          <w:ilvl w:val="0"/>
          <w:numId w:val="5"/>
        </w:numPr>
        <w:spacing w:after="40" w:line="269" w:lineRule="auto"/>
        <w:jc w:val="both"/>
        <w:rPr>
          <w:color w:val="404040" w:themeColor="text1" w:themeTint="BF"/>
        </w:rPr>
      </w:pPr>
      <w:r w:rsidRPr="00910908">
        <w:rPr>
          <w:color w:val="404040" w:themeColor="text1" w:themeTint="BF"/>
        </w:rPr>
        <w:t>Větš</w:t>
      </w:r>
      <w:r w:rsidR="00910908" w:rsidRPr="00910908">
        <w:rPr>
          <w:color w:val="404040" w:themeColor="text1" w:themeTint="BF"/>
        </w:rPr>
        <w:t>ina resortů dostala více prostředků na své aktivity</w:t>
      </w:r>
      <w:r w:rsidR="005A2C97">
        <w:rPr>
          <w:color w:val="404040" w:themeColor="text1" w:themeTint="BF"/>
        </w:rPr>
        <w:t>, často nejen na navýšení platů.</w:t>
      </w:r>
    </w:p>
    <w:p w:rsidR="005A2C97" w:rsidRDefault="005A2C97" w:rsidP="005A2C97">
      <w:pPr>
        <w:pStyle w:val="Odstavecseseznamem"/>
        <w:numPr>
          <w:ilvl w:val="0"/>
          <w:numId w:val="5"/>
        </w:numPr>
        <w:spacing w:after="40" w:line="269" w:lineRule="auto"/>
        <w:jc w:val="both"/>
        <w:rPr>
          <w:b/>
          <w:color w:val="404040" w:themeColor="text1" w:themeTint="BF"/>
        </w:rPr>
      </w:pPr>
      <w:r w:rsidRPr="00FC052A">
        <w:rPr>
          <w:b/>
          <w:color w:val="404040" w:themeColor="text1" w:themeTint="BF"/>
        </w:rPr>
        <w:t xml:space="preserve">Vývoj propočtů </w:t>
      </w:r>
      <w:r w:rsidR="00FC052A" w:rsidRPr="00FC052A">
        <w:rPr>
          <w:b/>
          <w:color w:val="404040" w:themeColor="text1" w:themeTint="BF"/>
        </w:rPr>
        <w:t>(</w:t>
      </w:r>
      <w:r w:rsidRPr="00FC052A">
        <w:rPr>
          <w:b/>
          <w:color w:val="404040" w:themeColor="text1" w:themeTint="BF"/>
        </w:rPr>
        <w:t>příjmů</w:t>
      </w:r>
      <w:r w:rsidR="00FC052A" w:rsidRPr="00FC052A">
        <w:rPr>
          <w:b/>
          <w:color w:val="404040" w:themeColor="text1" w:themeTint="BF"/>
        </w:rPr>
        <w:t>)</w:t>
      </w:r>
      <w:r w:rsidRPr="00FC052A">
        <w:rPr>
          <w:b/>
          <w:color w:val="404040" w:themeColor="text1" w:themeTint="BF"/>
        </w:rPr>
        <w:t xml:space="preserve"> ukazuje / potvrzuje prostor MF upravovat údaje a snižuje důvěru v exaktnost propočtů, což dokazují úpravy </w:t>
      </w:r>
      <w:r w:rsidR="00AE321B">
        <w:rPr>
          <w:b/>
          <w:color w:val="404040" w:themeColor="text1" w:themeTint="BF"/>
        </w:rPr>
        <w:t xml:space="preserve">například </w:t>
      </w:r>
      <w:r w:rsidRPr="00FC052A">
        <w:rPr>
          <w:b/>
          <w:color w:val="404040" w:themeColor="text1" w:themeTint="BF"/>
        </w:rPr>
        <w:t xml:space="preserve">příjmů dle </w:t>
      </w:r>
      <w:r w:rsidR="00AE321B" w:rsidRPr="00FC052A">
        <w:rPr>
          <w:b/>
          <w:color w:val="404040" w:themeColor="text1" w:themeTint="BF"/>
        </w:rPr>
        <w:t>nav</w:t>
      </w:r>
      <w:r w:rsidR="00AE321B">
        <w:rPr>
          <w:b/>
          <w:color w:val="404040" w:themeColor="text1" w:themeTint="BF"/>
        </w:rPr>
        <w:t>y</w:t>
      </w:r>
      <w:r w:rsidR="00AE321B" w:rsidRPr="00FC052A">
        <w:rPr>
          <w:b/>
          <w:color w:val="404040" w:themeColor="text1" w:themeTint="BF"/>
        </w:rPr>
        <w:t>š</w:t>
      </w:r>
      <w:r w:rsidR="00AE321B">
        <w:rPr>
          <w:b/>
          <w:color w:val="404040" w:themeColor="text1" w:themeTint="BF"/>
        </w:rPr>
        <w:t>ování jednotlivých</w:t>
      </w:r>
      <w:r w:rsidR="00AE321B" w:rsidRPr="00FC052A">
        <w:rPr>
          <w:b/>
          <w:color w:val="404040" w:themeColor="text1" w:themeTint="BF"/>
        </w:rPr>
        <w:t xml:space="preserve"> </w:t>
      </w:r>
      <w:r w:rsidRPr="00FC052A">
        <w:rPr>
          <w:b/>
          <w:color w:val="404040" w:themeColor="text1" w:themeTint="BF"/>
        </w:rPr>
        <w:t>výdajů, stejně jako projednávání či skutečné výsledky v minulých letech</w:t>
      </w:r>
      <w:r w:rsidR="00FC052A" w:rsidRPr="00FC052A">
        <w:rPr>
          <w:b/>
          <w:color w:val="404040" w:themeColor="text1" w:themeTint="BF"/>
        </w:rPr>
        <w:t xml:space="preserve"> (Na toto například upozorňoval i NKÚ)</w:t>
      </w:r>
      <w:r w:rsidRPr="00FC052A">
        <w:rPr>
          <w:b/>
          <w:color w:val="404040" w:themeColor="text1" w:themeTint="BF"/>
        </w:rPr>
        <w:t>. Při revizi makroekonomické predikce a přibývajícími nárůsty výdajů se nezměnil deficit, což ukazuje "prostor", kter</w:t>
      </w:r>
      <w:r w:rsidR="008D7289" w:rsidRPr="00FC052A">
        <w:rPr>
          <w:b/>
          <w:color w:val="404040" w:themeColor="text1" w:themeTint="BF"/>
        </w:rPr>
        <w:t>ý</w:t>
      </w:r>
      <w:r w:rsidRPr="00FC052A">
        <w:rPr>
          <w:b/>
          <w:color w:val="404040" w:themeColor="text1" w:themeTint="BF"/>
        </w:rPr>
        <w:t xml:space="preserve"> mělo MF pro jednání. </w:t>
      </w:r>
    </w:p>
    <w:p w:rsidR="00B5452C" w:rsidRDefault="00B5452C" w:rsidP="00B5452C">
      <w:pPr>
        <w:pStyle w:val="Odstavecseseznamem"/>
        <w:numPr>
          <w:ilvl w:val="1"/>
          <w:numId w:val="5"/>
        </w:numPr>
        <w:spacing w:after="40" w:line="269" w:lineRule="auto"/>
        <w:jc w:val="both"/>
        <w:rPr>
          <w:color w:val="404040" w:themeColor="text1" w:themeTint="BF"/>
        </w:rPr>
      </w:pPr>
      <w:r>
        <w:rPr>
          <w:color w:val="404040" w:themeColor="text1" w:themeTint="BF"/>
        </w:rPr>
        <w:t>Vybrané úpravy v průběhu cca 3 měsíců:</w:t>
      </w:r>
    </w:p>
    <w:p w:rsidR="00B5452C" w:rsidRPr="00D80551" w:rsidRDefault="00B5452C" w:rsidP="00B5452C">
      <w:pPr>
        <w:pStyle w:val="Odstavecseseznamem"/>
        <w:numPr>
          <w:ilvl w:val="2"/>
          <w:numId w:val="5"/>
        </w:numPr>
        <w:spacing w:after="40" w:line="269" w:lineRule="auto"/>
        <w:jc w:val="both"/>
        <w:rPr>
          <w:color w:val="404040" w:themeColor="text1" w:themeTint="BF"/>
        </w:rPr>
      </w:pPr>
      <w:r>
        <w:rPr>
          <w:color w:val="404040" w:themeColor="text1" w:themeTint="BF"/>
        </w:rPr>
        <w:t>U c</w:t>
      </w:r>
      <w:r w:rsidRPr="00D80551">
        <w:rPr>
          <w:color w:val="404040" w:themeColor="text1" w:themeTint="BF"/>
        </w:rPr>
        <w:t>elkových daňových příjmů v prvním materiálu MF predikovalo 655 mld. Kč, ve druhém materiálu (který projednávala PT RHSD pro hospodářskou politiku v červenci) 663 mld. Kč a v aktuálním návrhu 665 mld. Kč, takže byla predikce zvýšena celkem o 10 mld. Kč, přičemž makroekonomická predikce se naopak zhoršila. Predikce DPH byla zrevidována mírně dolů na 258 mld. Kč z 260 mld. Kč v první verzi – i tak se zadá predikce DPH poměrně ambiciózní s růstem o téměř 6 % (5,7 %). Zvýšena byla predikce daní z příjmů na 235 mld. Kč z 226 mld. Kč při zhoršení makroekonomické prognózy.</w:t>
      </w:r>
    </w:p>
    <w:p w:rsidR="00B5452C" w:rsidRPr="00D80551" w:rsidRDefault="00B5452C" w:rsidP="00B5452C">
      <w:pPr>
        <w:pStyle w:val="Odstavecseseznamem"/>
        <w:numPr>
          <w:ilvl w:val="2"/>
          <w:numId w:val="5"/>
        </w:numPr>
        <w:spacing w:after="40" w:line="269" w:lineRule="auto"/>
        <w:jc w:val="both"/>
        <w:rPr>
          <w:color w:val="404040" w:themeColor="text1" w:themeTint="BF"/>
        </w:rPr>
      </w:pPr>
      <w:r w:rsidRPr="00D80551">
        <w:rPr>
          <w:color w:val="404040" w:themeColor="text1" w:themeTint="BF"/>
        </w:rPr>
        <w:t>Predikce příjmů z pojistného na sociální zabezpečení se v podstatě nezměnila – v první verzi MF predikovalo 447 mld. Kč, v té aktuální 448 mld. Kč.</w:t>
      </w:r>
    </w:p>
    <w:p w:rsidR="00B5452C" w:rsidRPr="00D80551" w:rsidRDefault="00B5452C" w:rsidP="00B5452C">
      <w:pPr>
        <w:pStyle w:val="Odstavecseseznamem"/>
        <w:numPr>
          <w:ilvl w:val="2"/>
          <w:numId w:val="5"/>
        </w:numPr>
        <w:spacing w:after="40" w:line="269" w:lineRule="auto"/>
        <w:jc w:val="both"/>
        <w:rPr>
          <w:color w:val="404040" w:themeColor="text1" w:themeTint="BF"/>
        </w:rPr>
      </w:pPr>
      <w:r w:rsidRPr="00D80551">
        <w:rPr>
          <w:color w:val="404040" w:themeColor="text1" w:themeTint="BF"/>
        </w:rPr>
        <w:t>Na obsluhu státního dluhu jsou rozpočtované výdaje 46,3 mld. Kč, což je o 6 mld. méně, než je plán na rok 2016. V první verzi materiálu byly predikovány výdaje na obsluhu dluhu ve výši 53,6 mld. Kč, takže MF revizí „získalo“ 7,3 mld. Kč.</w:t>
      </w:r>
    </w:p>
    <w:p w:rsidR="005A2C97" w:rsidRPr="00FC052A" w:rsidRDefault="005A2C97" w:rsidP="005A2C97">
      <w:pPr>
        <w:pStyle w:val="Odstavecseseznamem"/>
        <w:numPr>
          <w:ilvl w:val="0"/>
          <w:numId w:val="5"/>
        </w:numPr>
        <w:spacing w:after="40" w:line="269" w:lineRule="auto"/>
        <w:jc w:val="both"/>
        <w:rPr>
          <w:b/>
          <w:color w:val="404040" w:themeColor="text1" w:themeTint="BF"/>
        </w:rPr>
      </w:pPr>
      <w:r w:rsidRPr="00FC052A">
        <w:rPr>
          <w:b/>
          <w:color w:val="404040" w:themeColor="text1" w:themeTint="BF"/>
        </w:rPr>
        <w:t>Svaz samozřejmě vítá navyšování či zajištění dostatků prostředků na prioritní oblasti jako je VaVaI (konkrétně aplikovaný výzkum a programy pod TAČR a MPO), dopravní infrastruktura, prostředky na dotac</w:t>
      </w:r>
      <w:r w:rsidR="008D7289" w:rsidRPr="00FC052A">
        <w:rPr>
          <w:b/>
          <w:color w:val="404040" w:themeColor="text1" w:themeTint="BF"/>
        </w:rPr>
        <w:t>e</w:t>
      </w:r>
      <w:r w:rsidRPr="00FC052A">
        <w:rPr>
          <w:b/>
          <w:color w:val="404040" w:themeColor="text1" w:themeTint="BF"/>
        </w:rPr>
        <w:t xml:space="preserve"> OZE či podporu exportu (např. EGAP). Jedná se o prioritní oblasti, které umožňují dlouhodobý rozvoj ekonomiky a tím i posilování domácí poptávky a zdrojů veřejných financí.</w:t>
      </w:r>
    </w:p>
    <w:p w:rsidR="005A2C97" w:rsidRPr="005A2C97" w:rsidRDefault="005A2C97" w:rsidP="005A2C97">
      <w:pPr>
        <w:pStyle w:val="Odstavecseseznamem"/>
        <w:numPr>
          <w:ilvl w:val="0"/>
          <w:numId w:val="5"/>
        </w:numPr>
        <w:spacing w:after="40" w:line="269" w:lineRule="auto"/>
        <w:jc w:val="both"/>
        <w:rPr>
          <w:color w:val="404040" w:themeColor="text1" w:themeTint="BF"/>
        </w:rPr>
      </w:pPr>
      <w:r w:rsidRPr="005A2C97">
        <w:rPr>
          <w:color w:val="404040" w:themeColor="text1" w:themeTint="BF"/>
        </w:rPr>
        <w:t xml:space="preserve">Řada problémů nadále zůstává mimo rozpočet – zrychlení povolovacích procesů, realizace dopravních staveb, čerpání ve strukturálních fondech, struktura vzdělanosti a zajištění kvalifikovaných pracovníků </w:t>
      </w:r>
      <w:r w:rsidRPr="005A2C97">
        <w:rPr>
          <w:color w:val="404040" w:themeColor="text1" w:themeTint="BF"/>
        </w:rPr>
        <w:lastRenderedPageBreak/>
        <w:t>pro moderní trendy v technologickém rozvoji k udržení a hlavně k posunutí pozice ČR, metodika hodnocení VaV apod.</w:t>
      </w:r>
    </w:p>
    <w:p w:rsidR="00600DBE" w:rsidRPr="00FC052A" w:rsidRDefault="00600DBE" w:rsidP="00600DBE">
      <w:pPr>
        <w:pStyle w:val="Odstavecseseznamem"/>
        <w:numPr>
          <w:ilvl w:val="0"/>
          <w:numId w:val="5"/>
        </w:numPr>
        <w:spacing w:after="40" w:line="269" w:lineRule="auto"/>
        <w:jc w:val="both"/>
        <w:rPr>
          <w:b/>
          <w:color w:val="404040" w:themeColor="text1" w:themeTint="BF"/>
        </w:rPr>
      </w:pPr>
      <w:r w:rsidRPr="00FC052A">
        <w:rPr>
          <w:b/>
          <w:color w:val="404040" w:themeColor="text1" w:themeTint="BF"/>
        </w:rPr>
        <w:t>Návrh státního rozpočtu ale neobsahuje například otázky systémových změn, rizik do budoucna či výsledků racionalizace státní správy, na což SP ČR dlouhodobě upozorňuje. </w:t>
      </w:r>
    </w:p>
    <w:p w:rsidR="00910908" w:rsidRPr="005A2C97" w:rsidRDefault="00910908" w:rsidP="005A2C97">
      <w:pPr>
        <w:pStyle w:val="Odstavecseseznamem"/>
        <w:numPr>
          <w:ilvl w:val="1"/>
          <w:numId w:val="5"/>
        </w:numPr>
        <w:spacing w:after="40" w:line="269" w:lineRule="auto"/>
        <w:jc w:val="both"/>
        <w:rPr>
          <w:color w:val="404040" w:themeColor="text1" w:themeTint="BF"/>
        </w:rPr>
      </w:pPr>
      <w:r w:rsidRPr="005A2C97">
        <w:rPr>
          <w:color w:val="404040" w:themeColor="text1" w:themeTint="BF"/>
        </w:rPr>
        <w:t>Není nijak řešeno zvyšování efektivity („racionalizace“ a systémové změny) státní správy a s tím spojené snižování administrativní náročnosti pro firmy (například zlepšený klientský přístup státní správy)</w:t>
      </w:r>
      <w:r w:rsidR="005A2C97">
        <w:rPr>
          <w:color w:val="404040" w:themeColor="text1" w:themeTint="BF"/>
        </w:rPr>
        <w:t>.</w:t>
      </w:r>
    </w:p>
    <w:p w:rsidR="005A2C97" w:rsidRPr="006524E4" w:rsidRDefault="005A2C97" w:rsidP="005A2C97">
      <w:pPr>
        <w:pStyle w:val="Odstavecseseznamem"/>
        <w:numPr>
          <w:ilvl w:val="0"/>
          <w:numId w:val="5"/>
        </w:numPr>
        <w:spacing w:after="40" w:line="269" w:lineRule="auto"/>
        <w:jc w:val="both"/>
        <w:rPr>
          <w:b/>
          <w:color w:val="404040" w:themeColor="text1" w:themeTint="BF"/>
          <w:sz w:val="18"/>
          <w:szCs w:val="18"/>
        </w:rPr>
      </w:pPr>
      <w:r w:rsidRPr="006524E4">
        <w:rPr>
          <w:b/>
          <w:color w:val="404040" w:themeColor="text1" w:themeTint="BF"/>
        </w:rPr>
        <w:t>Vláda nepředložila slibované podklady na posledním jednání RHSD (což snižuje důvěru v propočty a skutečnou efektivitu opatření celkově, i když jsou známé konkrétní dílčí úsporná opatření</w:t>
      </w:r>
      <w:r w:rsidR="00FC052A" w:rsidRPr="006524E4">
        <w:rPr>
          <w:b/>
          <w:color w:val="404040" w:themeColor="text1" w:themeTint="BF"/>
        </w:rPr>
        <w:t xml:space="preserve">) či předložené podklady nevypovídají o snaze o </w:t>
      </w:r>
      <w:r w:rsidR="00AE321B" w:rsidRPr="006524E4">
        <w:rPr>
          <w:b/>
          <w:color w:val="404040" w:themeColor="text1" w:themeTint="BF"/>
        </w:rPr>
        <w:t>e</w:t>
      </w:r>
      <w:r w:rsidR="00FC052A" w:rsidRPr="006524E4">
        <w:rPr>
          <w:b/>
          <w:color w:val="404040" w:themeColor="text1" w:themeTint="BF"/>
        </w:rPr>
        <w:t xml:space="preserve">fektivitu </w:t>
      </w:r>
      <w:r w:rsidRPr="006524E4">
        <w:rPr>
          <w:b/>
          <w:color w:val="404040" w:themeColor="text1" w:themeTint="BF"/>
        </w:rPr>
        <w:t>a to:</w:t>
      </w:r>
    </w:p>
    <w:p w:rsidR="005A2C97" w:rsidRPr="006524E4" w:rsidRDefault="005A2C97" w:rsidP="005A2C97">
      <w:pPr>
        <w:pStyle w:val="Odstavecseseznamem"/>
        <w:numPr>
          <w:ilvl w:val="1"/>
          <w:numId w:val="5"/>
        </w:numPr>
        <w:spacing w:after="40" w:line="269" w:lineRule="auto"/>
        <w:jc w:val="both"/>
        <w:rPr>
          <w:b/>
          <w:color w:val="404040" w:themeColor="text1" w:themeTint="BF"/>
          <w:sz w:val="18"/>
          <w:szCs w:val="18"/>
        </w:rPr>
      </w:pPr>
      <w:r w:rsidRPr="006524E4">
        <w:rPr>
          <w:b/>
          <w:i/>
          <w:color w:val="404040" w:themeColor="text1" w:themeTint="BF"/>
        </w:rPr>
        <w:t>Úspory versus nárůsty státních zaměstnanců v detailnějším členění</w:t>
      </w:r>
      <w:r w:rsidRPr="006524E4">
        <w:rPr>
          <w:b/>
          <w:color w:val="404040" w:themeColor="text1" w:themeTint="BF"/>
        </w:rPr>
        <w:t>, které by prokazovaly racionalizační opatření a nabírání pouze v pozicích jako policisté či ve finanční správě k</w:t>
      </w:r>
      <w:r w:rsidR="00FC052A" w:rsidRPr="006524E4">
        <w:rPr>
          <w:b/>
          <w:color w:val="404040" w:themeColor="text1" w:themeTint="BF"/>
        </w:rPr>
        <w:t> </w:t>
      </w:r>
      <w:r w:rsidRPr="006524E4">
        <w:rPr>
          <w:b/>
          <w:color w:val="404040" w:themeColor="text1" w:themeTint="BF"/>
        </w:rPr>
        <w:t>EET</w:t>
      </w:r>
      <w:r w:rsidR="00FC052A" w:rsidRPr="006524E4">
        <w:rPr>
          <w:b/>
          <w:color w:val="404040" w:themeColor="text1" w:themeTint="BF"/>
        </w:rPr>
        <w:t>. Zpráva sice oproti verzím v minulosti obsahuje slíbený konkrétní detailní popis vývoje počtu míst, za což děkujeme, nicméně poukazuje, že docházelo téměř výhradně pouze ke zvyšování počtu zaměstnanců.</w:t>
      </w:r>
    </w:p>
    <w:p w:rsidR="005A2C97" w:rsidRPr="00AE321B" w:rsidRDefault="005A2C97" w:rsidP="005A2C97">
      <w:pPr>
        <w:pStyle w:val="Odstavecseseznamem"/>
        <w:numPr>
          <w:ilvl w:val="1"/>
          <w:numId w:val="5"/>
        </w:numPr>
        <w:spacing w:after="40" w:line="269" w:lineRule="auto"/>
        <w:jc w:val="both"/>
        <w:rPr>
          <w:b/>
          <w:color w:val="404040" w:themeColor="text1" w:themeTint="BF"/>
          <w:sz w:val="18"/>
          <w:szCs w:val="18"/>
        </w:rPr>
      </w:pPr>
      <w:r w:rsidRPr="00AE321B">
        <w:rPr>
          <w:b/>
          <w:i/>
          <w:color w:val="404040" w:themeColor="text1" w:themeTint="BF"/>
        </w:rPr>
        <w:t>Přehled celkových úspor za externí služby za jednotlivé resorty</w:t>
      </w:r>
      <w:r w:rsidRPr="00AE321B">
        <w:rPr>
          <w:b/>
          <w:color w:val="404040" w:themeColor="text1" w:themeTint="BF"/>
        </w:rPr>
        <w:t>, který by prokazoval skutečné celkové úspory a snahy státní správy o racionalizační opatření /efektivitu, nikoliv pouze několik dílčích případů mediálně či v rámci Akčního plánu prezentovaných</w:t>
      </w:r>
    </w:p>
    <w:p w:rsidR="00A0083D" w:rsidRPr="00EF11AC" w:rsidRDefault="00A0083D" w:rsidP="00EF11AC">
      <w:pPr>
        <w:pStyle w:val="Odstavecseseznamem"/>
        <w:numPr>
          <w:ilvl w:val="0"/>
          <w:numId w:val="5"/>
        </w:numPr>
        <w:spacing w:after="40" w:line="269" w:lineRule="auto"/>
        <w:jc w:val="both"/>
        <w:rPr>
          <w:color w:val="404040" w:themeColor="text1" w:themeTint="BF"/>
          <w:sz w:val="18"/>
          <w:szCs w:val="18"/>
        </w:rPr>
      </w:pPr>
      <w:r w:rsidRPr="00EF11AC">
        <w:rPr>
          <w:color w:val="404040" w:themeColor="text1" w:themeTint="BF"/>
        </w:rPr>
        <w:t xml:space="preserve">Stejně tak navyšování výdajů v řadě oblastí neřeší otázku budoucnosti, kde ekonomická situace nemusí být stejná jako dnes. </w:t>
      </w:r>
    </w:p>
    <w:p w:rsidR="00EF11AC" w:rsidRPr="00AE321B" w:rsidRDefault="00EF11AC" w:rsidP="00EF11AC">
      <w:pPr>
        <w:pStyle w:val="Odstavecseseznamem"/>
        <w:numPr>
          <w:ilvl w:val="1"/>
          <w:numId w:val="5"/>
        </w:numPr>
        <w:spacing w:after="40" w:line="269" w:lineRule="auto"/>
        <w:jc w:val="both"/>
        <w:rPr>
          <w:b/>
          <w:color w:val="404040" w:themeColor="text1" w:themeTint="BF"/>
          <w:sz w:val="18"/>
          <w:szCs w:val="18"/>
        </w:rPr>
      </w:pPr>
      <w:r w:rsidRPr="00AE321B">
        <w:rPr>
          <w:b/>
          <w:color w:val="404040" w:themeColor="text1" w:themeTint="BF"/>
        </w:rPr>
        <w:t>Plošné nárůsty mzdových výdajů či jiná navyšování výdajů kapitol vytvářejí do budoucna riziko pro případ nižších možností ekonomiky či politická rizika pro další vyjednávání s resorty, které budou nadále požadovat „určitá“ tempa růstu prostředků bez systémových změn</w:t>
      </w:r>
      <w:r w:rsidR="005A2C97" w:rsidRPr="00AE321B">
        <w:rPr>
          <w:b/>
          <w:color w:val="404040" w:themeColor="text1" w:themeTint="BF"/>
        </w:rPr>
        <w:t>. Růst platů ve státní správě nereflektuje růst produktivity v národním hospodářství</w:t>
      </w:r>
      <w:r w:rsidR="00FA7D9C" w:rsidRPr="00AE321B">
        <w:rPr>
          <w:b/>
          <w:color w:val="404040" w:themeColor="text1" w:themeTint="BF"/>
        </w:rPr>
        <w:t xml:space="preserve"> (průměrná mzda ve státní správě poroste podle návrhu SR o </w:t>
      </w:r>
      <w:r w:rsidR="00B81A96" w:rsidRPr="00AE321B">
        <w:rPr>
          <w:b/>
          <w:color w:val="404040" w:themeColor="text1" w:themeTint="BF"/>
        </w:rPr>
        <w:t>6,7 %, což je více než přidávají úspěšné firmy</w:t>
      </w:r>
      <w:r w:rsidR="00FA7D9C" w:rsidRPr="00AE321B">
        <w:rPr>
          <w:b/>
          <w:color w:val="404040" w:themeColor="text1" w:themeTint="BF"/>
        </w:rPr>
        <w:t>)</w:t>
      </w:r>
      <w:r w:rsidR="005A2C97" w:rsidRPr="00AE321B">
        <w:rPr>
          <w:b/>
          <w:color w:val="404040" w:themeColor="text1" w:themeTint="BF"/>
        </w:rPr>
        <w:t xml:space="preserve"> a není doprovázen zvyšováním efektivity činností či zlepšením kvality služeb.</w:t>
      </w:r>
    </w:p>
    <w:p w:rsidR="00A0083D" w:rsidRPr="00A0083D" w:rsidRDefault="00A0083D" w:rsidP="00A0083D">
      <w:pPr>
        <w:pStyle w:val="Odstavecseseznamem"/>
        <w:autoSpaceDE w:val="0"/>
        <w:autoSpaceDN w:val="0"/>
        <w:adjustRightInd w:val="0"/>
        <w:spacing w:after="0" w:line="288" w:lineRule="auto"/>
        <w:ind w:left="360"/>
        <w:jc w:val="both"/>
        <w:textAlignment w:val="center"/>
        <w:rPr>
          <w:rFonts w:ascii="Calibri" w:hAnsi="Calibri" w:cs="Calibri"/>
          <w:b/>
          <w:color w:val="404040" w:themeColor="text1" w:themeTint="BF"/>
          <w:sz w:val="24"/>
          <w:u w:val="single"/>
        </w:rPr>
      </w:pPr>
    </w:p>
    <w:p w:rsidR="00D26275" w:rsidRDefault="00D26275" w:rsidP="002203F3">
      <w:pPr>
        <w:pStyle w:val="Odstavecseseznamem"/>
        <w:numPr>
          <w:ilvl w:val="0"/>
          <w:numId w:val="11"/>
        </w:numPr>
        <w:autoSpaceDE w:val="0"/>
        <w:autoSpaceDN w:val="0"/>
        <w:adjustRightInd w:val="0"/>
        <w:spacing w:after="0" w:line="288" w:lineRule="auto"/>
        <w:jc w:val="both"/>
        <w:textAlignment w:val="center"/>
        <w:rPr>
          <w:rFonts w:ascii="Calibri" w:hAnsi="Calibri" w:cs="Calibri"/>
          <w:b/>
          <w:color w:val="404040" w:themeColor="text1" w:themeTint="BF"/>
          <w:sz w:val="24"/>
          <w:u w:val="single"/>
        </w:rPr>
      </w:pPr>
      <w:r w:rsidRPr="00A0083D">
        <w:rPr>
          <w:rFonts w:ascii="Calibri" w:hAnsi="Calibri" w:cs="Calibri"/>
          <w:b/>
          <w:color w:val="404040" w:themeColor="text1" w:themeTint="BF"/>
          <w:sz w:val="24"/>
          <w:u w:val="single"/>
        </w:rPr>
        <w:t>Podmínky, východiska, rizika rozpočtu</w:t>
      </w:r>
    </w:p>
    <w:p w:rsidR="00910908" w:rsidRPr="005A2C97" w:rsidRDefault="00910908" w:rsidP="005A2C97">
      <w:pPr>
        <w:pStyle w:val="Odstavecseseznamem"/>
        <w:numPr>
          <w:ilvl w:val="0"/>
          <w:numId w:val="5"/>
        </w:numPr>
        <w:spacing w:after="40" w:line="269" w:lineRule="auto"/>
        <w:jc w:val="both"/>
        <w:rPr>
          <w:color w:val="404040" w:themeColor="text1" w:themeTint="BF"/>
        </w:rPr>
      </w:pPr>
      <w:r w:rsidRPr="005A2C97">
        <w:rPr>
          <w:color w:val="404040" w:themeColor="text1" w:themeTint="BF"/>
        </w:rPr>
        <w:t xml:space="preserve">Návrh je předkládán v období pozitivních ekonomických výsledků (HDP, mzdy, zaměstnanost apod.) a v období převažujících mírně optimistických očekávání, tj. v období pro ministerstvo financí „politicky příznivějším“, které v takové míře „netlačí“ na efektivitu výdajů či nejsou vyžadovány výrazné fiskální restrikce. Návrh ale nepracuje s nejistotami v ekonomickém výhledu a s otázkou dlouhodobé udržitelnosti. </w:t>
      </w:r>
    </w:p>
    <w:p w:rsidR="005A2C97" w:rsidRDefault="005A2C97" w:rsidP="005A2C97">
      <w:pPr>
        <w:pStyle w:val="Odstavecseseznamem"/>
        <w:numPr>
          <w:ilvl w:val="0"/>
          <w:numId w:val="5"/>
        </w:numPr>
        <w:spacing w:after="40" w:line="269" w:lineRule="auto"/>
        <w:jc w:val="both"/>
        <w:rPr>
          <w:color w:val="404040" w:themeColor="text1" w:themeTint="BF"/>
        </w:rPr>
      </w:pPr>
      <w:r>
        <w:rPr>
          <w:color w:val="404040" w:themeColor="text1" w:themeTint="BF"/>
        </w:rPr>
        <w:t>Návrh rozpočtu je postaven na červencové makroekonomické predikci MF</w:t>
      </w:r>
      <w:r w:rsidRPr="00600DBE">
        <w:rPr>
          <w:color w:val="404040" w:themeColor="text1" w:themeTint="BF"/>
        </w:rPr>
        <w:t xml:space="preserve">. Poměrně výrazně byla snížena predikce růstu reálného HDP letos z 2,5 % na 2,2 % a příští rok na 2,4 % z 2,6 %. Na druhou stranu byla zvýšena predikce objemu mezd – z </w:t>
      </w:r>
      <w:r>
        <w:rPr>
          <w:color w:val="404040" w:themeColor="text1" w:themeTint="BF"/>
        </w:rPr>
        <w:t>4,6 % na 4,9 % v příštím roce. P</w:t>
      </w:r>
      <w:r w:rsidRPr="00600DBE">
        <w:rPr>
          <w:color w:val="404040" w:themeColor="text1" w:themeTint="BF"/>
        </w:rPr>
        <w:t xml:space="preserve">odle MF by měl být dopad změny predikce rozpočtově neutrální. Mzdy ale porostou rychleji proto, že se bude víc přidávat ve státní sféře, takže </w:t>
      </w:r>
      <w:r>
        <w:rPr>
          <w:color w:val="404040" w:themeColor="text1" w:themeTint="BF"/>
        </w:rPr>
        <w:t>revizi za rozpočtově neutrální nepovažujeme, protože část navýšení mezd (pojistné apod. je u většiny zaměstnanců státní správy spíše virtuální účetní operací“) je potřeba získat z peněz produktivního sektoru</w:t>
      </w:r>
      <w:r w:rsidRPr="00600DBE">
        <w:rPr>
          <w:color w:val="404040" w:themeColor="text1" w:themeTint="BF"/>
        </w:rPr>
        <w:t>.</w:t>
      </w:r>
      <w:r>
        <w:rPr>
          <w:color w:val="404040" w:themeColor="text1" w:themeTint="BF"/>
        </w:rPr>
        <w:t xml:space="preserve"> Spíše se ukazuje, že MF mělo prostor pro jednání.</w:t>
      </w:r>
    </w:p>
    <w:p w:rsidR="005A2C97" w:rsidRPr="00600DBE" w:rsidRDefault="005A2C97" w:rsidP="005A2C97">
      <w:pPr>
        <w:pStyle w:val="Odstavecseseznamem"/>
        <w:numPr>
          <w:ilvl w:val="1"/>
          <w:numId w:val="5"/>
        </w:numPr>
        <w:spacing w:after="40" w:line="269" w:lineRule="auto"/>
        <w:jc w:val="both"/>
        <w:rPr>
          <w:color w:val="404040" w:themeColor="text1" w:themeTint="BF"/>
        </w:rPr>
      </w:pPr>
      <w:r w:rsidRPr="00600DBE">
        <w:rPr>
          <w:color w:val="404040" w:themeColor="text1" w:themeTint="BF"/>
        </w:rPr>
        <w:t>MF odůvodnilo</w:t>
      </w:r>
      <w:r>
        <w:rPr>
          <w:color w:val="404040" w:themeColor="text1" w:themeTint="BF"/>
        </w:rPr>
        <w:t xml:space="preserve"> pokles odhadu růstu ekonomiky</w:t>
      </w:r>
      <w:r w:rsidRPr="00600DBE">
        <w:rPr>
          <w:color w:val="404040" w:themeColor="text1" w:themeTint="BF"/>
        </w:rPr>
        <w:t xml:space="preserve"> jednak riziky spojenými s Brexitem a také poklesem investic v</w:t>
      </w:r>
      <w:r>
        <w:rPr>
          <w:color w:val="404040" w:themeColor="text1" w:themeTint="BF"/>
        </w:rPr>
        <w:t> 1. čtvrtletí</w:t>
      </w:r>
      <w:r w:rsidRPr="00600DBE">
        <w:rPr>
          <w:color w:val="404040" w:themeColor="text1" w:themeTint="BF"/>
        </w:rPr>
        <w:t xml:space="preserve"> (pokles způsoben zejména pomalým náběhem čerpání prostředků v novém programovacím období). Takže revize jde zejména na vrub investicím. Růst spotřeby domácností a vlády byl ponechán v podstatě beze změny. Predikce deflátoru HDP byla zredukována na 1,1 % z 1,3 % v příštím roce. Na druhou stranu byla zvýšena predikce objemu mezd – z </w:t>
      </w:r>
      <w:r>
        <w:rPr>
          <w:color w:val="404040" w:themeColor="text1" w:themeTint="BF"/>
        </w:rPr>
        <w:t>4,6 % na 4,9 % v příštím roce. P</w:t>
      </w:r>
      <w:r w:rsidRPr="00600DBE">
        <w:rPr>
          <w:color w:val="404040" w:themeColor="text1" w:themeTint="BF"/>
        </w:rPr>
        <w:t xml:space="preserve">odle MF by měl být dopad změny predikce rozpočtově </w:t>
      </w:r>
      <w:r w:rsidRPr="00600DBE">
        <w:rPr>
          <w:color w:val="404040" w:themeColor="text1" w:themeTint="BF"/>
        </w:rPr>
        <w:lastRenderedPageBreak/>
        <w:t>neutrální. Mzdy ale porostou rychleji proto, že se bude víc přidávat ve státní sféře, takže revize nám rozpočtově neutrální nepřipadá.</w:t>
      </w:r>
    </w:p>
    <w:p w:rsidR="00910908" w:rsidRPr="005A2C97" w:rsidRDefault="00910908" w:rsidP="005A2C97">
      <w:pPr>
        <w:pStyle w:val="Odstavecseseznamem"/>
        <w:numPr>
          <w:ilvl w:val="0"/>
          <w:numId w:val="5"/>
        </w:numPr>
        <w:spacing w:after="40" w:line="269" w:lineRule="auto"/>
        <w:jc w:val="both"/>
        <w:rPr>
          <w:color w:val="404040" w:themeColor="text1" w:themeTint="BF"/>
        </w:rPr>
      </w:pPr>
      <w:r w:rsidRPr="00D80551">
        <w:rPr>
          <w:b/>
          <w:color w:val="404040" w:themeColor="text1" w:themeTint="BF"/>
        </w:rPr>
        <w:t xml:space="preserve">V podstatě nedochází v návrhu ke snižování deficitu SR a realita plnění rozpočtu bývá jiná, než jsou schvalované hodnoty. </w:t>
      </w:r>
      <w:r w:rsidRPr="005A2C97">
        <w:rPr>
          <w:color w:val="404040" w:themeColor="text1" w:themeTint="BF"/>
        </w:rPr>
        <w:t xml:space="preserve">Loni skončil SR v deficitu 62 mld. Kč (při schváleném deficitu 100 mld. Kč). Letos je plán (schválený deficit) -70 mld., nicméně podle dosavadního měsíčního plnění SR (přebytek 40,6 mld. v červnu), by celoroční výsledek měl být opět nižší než plánovaných -70 mld. </w:t>
      </w:r>
      <w:r w:rsidRPr="00D80551">
        <w:rPr>
          <w:b/>
          <w:color w:val="404040" w:themeColor="text1" w:themeTint="BF"/>
        </w:rPr>
        <w:t>Nejedná se tedy o skutečné snižování deficitu a letošní plán deficitu SR 60 mld. je málo ambiciózní vzhledem k fázi hospodářského cyklu.</w:t>
      </w:r>
      <w:r w:rsidRPr="005A2C97">
        <w:rPr>
          <w:color w:val="404040" w:themeColor="text1" w:themeTint="BF"/>
        </w:rPr>
        <w:t xml:space="preserve"> Strukturální deficit se navíc meziročně zvyšuje.</w:t>
      </w:r>
    </w:p>
    <w:p w:rsidR="005A2C97" w:rsidRPr="005A2C97" w:rsidRDefault="005A2C97" w:rsidP="005A2C97">
      <w:pPr>
        <w:pStyle w:val="Odstavecseseznamem"/>
        <w:numPr>
          <w:ilvl w:val="1"/>
          <w:numId w:val="5"/>
        </w:numPr>
        <w:spacing w:after="40" w:line="269" w:lineRule="auto"/>
        <w:jc w:val="both"/>
        <w:rPr>
          <w:color w:val="404040" w:themeColor="text1" w:themeTint="BF"/>
        </w:rPr>
      </w:pPr>
      <w:r w:rsidRPr="005A2C97">
        <w:rPr>
          <w:color w:val="404040" w:themeColor="text1" w:themeTint="BF"/>
        </w:rPr>
        <w:t xml:space="preserve">Plnění státního rozpočtu v letošním roce ukazuje, že deficit bude pravděpodobně opět nižší, než schválený. </w:t>
      </w:r>
      <w:r>
        <w:rPr>
          <w:color w:val="404040" w:themeColor="text1" w:themeTint="BF"/>
        </w:rPr>
        <w:t>Za leden až srpen 2016 skončil s</w:t>
      </w:r>
      <w:r w:rsidRPr="005A2C97">
        <w:rPr>
          <w:color w:val="404040" w:themeColor="text1" w:themeTint="BF"/>
        </w:rPr>
        <w:t>tátní rozpočet v rekordním přebytku 82 mld. Kč. Výběr DPH roste meziročně pouze o 2,9 %, DPPO o 11,2 %, DPFO o 13 %, daně celkem o 7,2 % a celkové daně + pojistné o 6,6 %, vliv kontrolního hlášení se příliš neprojevuje. Zajímavá je argumentace MF ohledně výběru DPH – prý roste i proto, že klesá objem vratek DPH. To je podle nich způsobeno zavedením KH a rozšiřováním RCH. Nicméně, i po zohlednění změny v rozpočtovém určení daní, rostl výběr DPH výrazně méně než výběr DPPO a DPFO. Je to zhruba stejně rychle jako nominální růst spotřeby (za data za leden-srpen dokonce ještě pomaleji). Takže prokazatelné zvýšení efektivity výběru DPH není příliš „makroekonomi</w:t>
      </w:r>
      <w:r w:rsidR="00C535D2">
        <w:rPr>
          <w:color w:val="404040" w:themeColor="text1" w:themeTint="BF"/>
        </w:rPr>
        <w:t>c</w:t>
      </w:r>
      <w:r w:rsidRPr="005A2C97">
        <w:rPr>
          <w:color w:val="404040" w:themeColor="text1" w:themeTint="BF"/>
        </w:rPr>
        <w:t>ky“ vidět.</w:t>
      </w:r>
    </w:p>
    <w:p w:rsidR="00D26275" w:rsidRDefault="00D26275" w:rsidP="002203F3">
      <w:pPr>
        <w:pStyle w:val="Odstavecseseznamem"/>
        <w:numPr>
          <w:ilvl w:val="0"/>
          <w:numId w:val="11"/>
        </w:numPr>
        <w:autoSpaceDE w:val="0"/>
        <w:autoSpaceDN w:val="0"/>
        <w:adjustRightInd w:val="0"/>
        <w:spacing w:after="0" w:line="288" w:lineRule="auto"/>
        <w:jc w:val="both"/>
        <w:textAlignment w:val="center"/>
        <w:rPr>
          <w:rFonts w:ascii="Calibri" w:hAnsi="Calibri" w:cs="Calibri"/>
          <w:b/>
          <w:color w:val="404040" w:themeColor="text1" w:themeTint="BF"/>
          <w:sz w:val="24"/>
          <w:u w:val="single"/>
        </w:rPr>
      </w:pPr>
      <w:r w:rsidRPr="00A0083D">
        <w:rPr>
          <w:rFonts w:ascii="Calibri" w:hAnsi="Calibri" w:cs="Calibri"/>
          <w:b/>
          <w:color w:val="404040" w:themeColor="text1" w:themeTint="BF"/>
          <w:sz w:val="24"/>
          <w:u w:val="single"/>
        </w:rPr>
        <w:t>Příjmy</w:t>
      </w:r>
    </w:p>
    <w:p w:rsidR="002813A4" w:rsidRPr="00D80551" w:rsidRDefault="002813A4" w:rsidP="002813A4">
      <w:pPr>
        <w:pStyle w:val="Odstavecseseznamem"/>
        <w:numPr>
          <w:ilvl w:val="0"/>
          <w:numId w:val="5"/>
        </w:numPr>
        <w:spacing w:after="40" w:line="269" w:lineRule="auto"/>
        <w:jc w:val="both"/>
        <w:rPr>
          <w:color w:val="404040" w:themeColor="text1" w:themeTint="BF"/>
        </w:rPr>
      </w:pPr>
      <w:r w:rsidRPr="00D80551">
        <w:rPr>
          <w:color w:val="404040" w:themeColor="text1" w:themeTint="BF"/>
        </w:rPr>
        <w:t xml:space="preserve">Celkově považujeme za rizikové kalkulovat s příjmy z EET či z KH jako s jistými příjmy SR. </w:t>
      </w:r>
    </w:p>
    <w:p w:rsidR="002813A4" w:rsidRPr="00D80551" w:rsidRDefault="002813A4" w:rsidP="002813A4">
      <w:pPr>
        <w:pStyle w:val="Odstavecseseznamem"/>
        <w:numPr>
          <w:ilvl w:val="0"/>
          <w:numId w:val="5"/>
        </w:numPr>
        <w:spacing w:after="40" w:line="269" w:lineRule="auto"/>
        <w:jc w:val="both"/>
        <w:rPr>
          <w:color w:val="404040" w:themeColor="text1" w:themeTint="BF"/>
        </w:rPr>
      </w:pPr>
      <w:r w:rsidRPr="00D80551">
        <w:rPr>
          <w:color w:val="404040" w:themeColor="text1" w:themeTint="BF"/>
        </w:rPr>
        <w:t>Svaz podporuje boj proti daňovým únikům a bezpochyby kontrolní hlášení či evidence tržeb přináší a přinese do rozpočtu dodatečné příjmy, nicméně přesné kalkulace dopadů lze obtížně oddělit od příspěvku růstu ekonomiky (nominálního nárůstu spotřeby domácností apod.)</w:t>
      </w:r>
    </w:p>
    <w:p w:rsidR="002813A4" w:rsidRDefault="002813A4" w:rsidP="002813A4">
      <w:pPr>
        <w:pStyle w:val="Odstavecseseznamem"/>
        <w:numPr>
          <w:ilvl w:val="0"/>
          <w:numId w:val="5"/>
        </w:numPr>
        <w:spacing w:after="40" w:line="269" w:lineRule="auto"/>
        <w:jc w:val="both"/>
        <w:rPr>
          <w:color w:val="404040" w:themeColor="text1" w:themeTint="BF"/>
        </w:rPr>
      </w:pPr>
      <w:r w:rsidRPr="00D80551">
        <w:rPr>
          <w:color w:val="404040" w:themeColor="text1" w:themeTint="BF"/>
        </w:rPr>
        <w:t>Vzhledem ke změně rozpočtového určení daní, kdy nově bude větší část výnosu DPH určena obcím, pokládáme predikci růstu výběru DPH o</w:t>
      </w:r>
      <w:r w:rsidR="00895C9A" w:rsidRPr="00D80551">
        <w:rPr>
          <w:color w:val="404040" w:themeColor="text1" w:themeTint="BF"/>
        </w:rPr>
        <w:t xml:space="preserve"> téměř</w:t>
      </w:r>
      <w:r w:rsidRPr="00D80551">
        <w:rPr>
          <w:color w:val="404040" w:themeColor="text1" w:themeTint="BF"/>
        </w:rPr>
        <w:t xml:space="preserve"> 6,0 % za poměrně ambiciózní. Jedná se o vyšší hodnotu očekávané míry růstu než odhad pro rok 2016, kdy bylo spuštěno kontrolní hlášení. </w:t>
      </w:r>
    </w:p>
    <w:p w:rsidR="00D80551" w:rsidRDefault="00D80551" w:rsidP="00D80551">
      <w:pPr>
        <w:pStyle w:val="Odstavecseseznamem"/>
        <w:numPr>
          <w:ilvl w:val="0"/>
          <w:numId w:val="5"/>
        </w:numPr>
        <w:spacing w:after="40" w:line="269" w:lineRule="auto"/>
        <w:jc w:val="both"/>
        <w:rPr>
          <w:color w:val="404040" w:themeColor="text1" w:themeTint="BF"/>
        </w:rPr>
      </w:pPr>
      <w:r w:rsidRPr="00D80551">
        <w:rPr>
          <w:color w:val="404040" w:themeColor="text1" w:themeTint="BF"/>
        </w:rPr>
        <w:t>Jak je uvedeno výše, v průběhu posledních 3 měsícům docházelo k několika revizím návrhu příjmů</w:t>
      </w:r>
    </w:p>
    <w:p w:rsidR="00243C2F" w:rsidRDefault="00243C2F">
      <w:pPr>
        <w:spacing w:after="0"/>
      </w:pPr>
    </w:p>
    <w:p w:rsidR="002203F3" w:rsidRDefault="00D26275" w:rsidP="002203F3">
      <w:pPr>
        <w:pStyle w:val="Odstavecseseznamem"/>
        <w:numPr>
          <w:ilvl w:val="0"/>
          <w:numId w:val="11"/>
        </w:numPr>
        <w:autoSpaceDE w:val="0"/>
        <w:autoSpaceDN w:val="0"/>
        <w:adjustRightInd w:val="0"/>
        <w:spacing w:after="0" w:line="288" w:lineRule="auto"/>
        <w:jc w:val="both"/>
        <w:textAlignment w:val="center"/>
        <w:rPr>
          <w:rFonts w:ascii="Calibri" w:hAnsi="Calibri" w:cs="Calibri"/>
          <w:b/>
          <w:color w:val="404040" w:themeColor="text1" w:themeTint="BF"/>
          <w:sz w:val="24"/>
          <w:u w:val="single"/>
        </w:rPr>
      </w:pPr>
      <w:r w:rsidRPr="002203F3">
        <w:rPr>
          <w:rFonts w:ascii="Calibri" w:hAnsi="Calibri" w:cs="Calibri"/>
          <w:b/>
          <w:color w:val="404040" w:themeColor="text1" w:themeTint="BF"/>
          <w:sz w:val="24"/>
          <w:u w:val="single"/>
        </w:rPr>
        <w:t>Výdaje</w:t>
      </w:r>
    </w:p>
    <w:p w:rsidR="00CB6D24" w:rsidRPr="00B5452C" w:rsidRDefault="00CB6D24" w:rsidP="00CB6D24">
      <w:pPr>
        <w:pStyle w:val="Odstavecseseznamem"/>
        <w:numPr>
          <w:ilvl w:val="0"/>
          <w:numId w:val="5"/>
        </w:numPr>
        <w:spacing w:after="40" w:line="269" w:lineRule="auto"/>
        <w:jc w:val="both"/>
        <w:rPr>
          <w:b/>
          <w:color w:val="404040" w:themeColor="text1" w:themeTint="BF"/>
        </w:rPr>
      </w:pPr>
      <w:r w:rsidRPr="00B5452C">
        <w:rPr>
          <w:b/>
          <w:color w:val="404040" w:themeColor="text1" w:themeTint="BF"/>
        </w:rPr>
        <w:t xml:space="preserve">Na straně výdajů požadované částky na prioritní oblasti jako je aplikovaný vývoj, doprava či podporu exportu jsou, a tak dodatečné nároky Svaz neklade. Pouze bychom chtěli požádat o zajištění prostředků v rámci kapitol, například v rámci MPO na překlady technických norem či v rámci ÚOOZ na činnost související s </w:t>
      </w:r>
      <w:r w:rsidRPr="00B5452C">
        <w:rPr>
          <w:rFonts w:eastAsia="Calibri"/>
          <w:b/>
          <w:color w:val="404040" w:themeColor="text1" w:themeTint="BF"/>
        </w:rPr>
        <w:t>ochranou osobních údajů a kybernetickou bezpečností, zejména díky novým pravidlům EU.</w:t>
      </w:r>
    </w:p>
    <w:p w:rsidR="002203F3" w:rsidRPr="002203F3" w:rsidRDefault="002203F3" w:rsidP="002203F3">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sidRPr="002203F3">
        <w:rPr>
          <w:rFonts w:ascii="Calibri" w:hAnsi="Calibri" w:cs="Calibri"/>
          <w:b/>
          <w:color w:val="404040" w:themeColor="text1" w:themeTint="BF"/>
          <w:sz w:val="24"/>
          <w:u w:val="single"/>
        </w:rPr>
        <w:t>Doprava</w:t>
      </w:r>
    </w:p>
    <w:p w:rsidR="00B5452C" w:rsidRPr="00D3057A" w:rsidRDefault="00B5452C" w:rsidP="00B5452C">
      <w:pPr>
        <w:pStyle w:val="Odstavecseseznamem"/>
        <w:numPr>
          <w:ilvl w:val="0"/>
          <w:numId w:val="5"/>
        </w:numPr>
        <w:spacing w:after="40" w:line="269" w:lineRule="auto"/>
        <w:jc w:val="both"/>
        <w:rPr>
          <w:b/>
          <w:color w:val="404040" w:themeColor="text1" w:themeTint="BF"/>
        </w:rPr>
      </w:pPr>
      <w:r w:rsidRPr="00D3057A">
        <w:rPr>
          <w:b/>
          <w:color w:val="404040" w:themeColor="text1" w:themeTint="BF"/>
        </w:rPr>
        <w:t>Rozpočet pro oblast dopravy považujeme za dostatečný, problémy vidíme zejména v otázkách mimo rozpočet (povolovací procesy apod.). Jak MD, tak SFDI se dočkaly významného zvýšení příjmů. Doufáme, že tyto příjmy budou využity účelně a umožní budování kvalitní infrastruktury.</w:t>
      </w:r>
    </w:p>
    <w:p w:rsidR="00B5452C" w:rsidRPr="00B5452C" w:rsidRDefault="00B5452C" w:rsidP="00B5452C">
      <w:pPr>
        <w:pStyle w:val="Odstavecseseznamem"/>
        <w:numPr>
          <w:ilvl w:val="0"/>
          <w:numId w:val="5"/>
        </w:numPr>
        <w:spacing w:after="40" w:line="269" w:lineRule="auto"/>
        <w:jc w:val="both"/>
        <w:rPr>
          <w:color w:val="404040" w:themeColor="text1" w:themeTint="BF"/>
        </w:rPr>
      </w:pPr>
      <w:r w:rsidRPr="00B5452C">
        <w:rPr>
          <w:color w:val="404040" w:themeColor="text1" w:themeTint="BF"/>
        </w:rPr>
        <w:t xml:space="preserve">Se zapojením prostředků EU (30,1 mld. Kč) by v roce 2017 SFDI mohl mít k dispozici až  82,1 mld. Kč (52 mld. Kč z národních zdrojů). Rozpočet je v souladu se sektorovou strategií a umožňuje financovat všechny požadavky (26 mld. Kč půjde na silnice, 20 na železnice, 0,5 na vodu, 3,8 na mýto). Příští rok by i se započtením fondů EU mělo jít na nově zahájené akce na silnici celkem asi 11,4 mld. Kč (nejvíce na D11, D3, D1, D48), na železnici pak 3,3 mld. Kč (Český Těšín – Dětmarovice) a vodu 0,6 mld. Kč. </w:t>
      </w:r>
    </w:p>
    <w:p w:rsidR="002203F3" w:rsidRPr="00910908" w:rsidRDefault="002203F3" w:rsidP="00910908">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sidRPr="00910908">
        <w:rPr>
          <w:rFonts w:ascii="Calibri" w:hAnsi="Calibri" w:cs="Calibri"/>
          <w:b/>
          <w:color w:val="404040" w:themeColor="text1" w:themeTint="BF"/>
          <w:sz w:val="24"/>
          <w:u w:val="single"/>
        </w:rPr>
        <w:t>OZE</w:t>
      </w:r>
    </w:p>
    <w:p w:rsidR="00544087" w:rsidRPr="00910908" w:rsidRDefault="00544087" w:rsidP="00910908">
      <w:pPr>
        <w:pStyle w:val="Odstavecseseznamem"/>
        <w:numPr>
          <w:ilvl w:val="0"/>
          <w:numId w:val="5"/>
        </w:numPr>
        <w:spacing w:after="40" w:line="269" w:lineRule="auto"/>
        <w:jc w:val="both"/>
        <w:rPr>
          <w:color w:val="404040" w:themeColor="text1" w:themeTint="BF"/>
        </w:rPr>
      </w:pPr>
      <w:r w:rsidRPr="00910908">
        <w:rPr>
          <w:color w:val="404040" w:themeColor="text1" w:themeTint="BF"/>
        </w:rPr>
        <w:t>Oproti původnímu návrhu z července došlo k dalšímu navýšení na 25,13 mld. Kč</w:t>
      </w:r>
      <w:r w:rsidR="00910908">
        <w:rPr>
          <w:color w:val="404040" w:themeColor="text1" w:themeTint="BF"/>
        </w:rPr>
        <w:t xml:space="preserve">. </w:t>
      </w:r>
      <w:r w:rsidR="00910908" w:rsidRPr="00D3057A">
        <w:rPr>
          <w:b/>
          <w:color w:val="404040" w:themeColor="text1" w:themeTint="BF"/>
        </w:rPr>
        <w:t>Navýšení prostředků považujeme za dostatečné, čímž je zajištěno stabilní krytí podpory obnovitelných zdrojů</w:t>
      </w:r>
      <w:r w:rsidR="00910908">
        <w:rPr>
          <w:color w:val="404040" w:themeColor="text1" w:themeTint="BF"/>
        </w:rPr>
        <w:t>.</w:t>
      </w:r>
    </w:p>
    <w:p w:rsidR="002203F3" w:rsidRDefault="002203F3" w:rsidP="00910908">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sidRPr="00910908">
        <w:rPr>
          <w:rFonts w:ascii="Calibri" w:hAnsi="Calibri" w:cs="Calibri"/>
          <w:b/>
          <w:color w:val="404040" w:themeColor="text1" w:themeTint="BF"/>
          <w:sz w:val="24"/>
          <w:u w:val="single"/>
        </w:rPr>
        <w:lastRenderedPageBreak/>
        <w:t>Výzkum, vývoj a inovace</w:t>
      </w:r>
    </w:p>
    <w:p w:rsidR="00910908" w:rsidRPr="00B5452C" w:rsidRDefault="00910908" w:rsidP="002813A4">
      <w:pPr>
        <w:pStyle w:val="Odstavecseseznamem"/>
        <w:numPr>
          <w:ilvl w:val="0"/>
          <w:numId w:val="5"/>
        </w:numPr>
        <w:spacing w:after="40" w:line="269" w:lineRule="auto"/>
        <w:jc w:val="both"/>
        <w:rPr>
          <w:b/>
          <w:color w:val="404040" w:themeColor="text1" w:themeTint="BF"/>
        </w:rPr>
      </w:pPr>
      <w:r w:rsidRPr="00B5452C">
        <w:rPr>
          <w:b/>
          <w:color w:val="404040" w:themeColor="text1" w:themeTint="BF"/>
        </w:rPr>
        <w:t>Svaz uspěl s požadavkem na navýšení rozpočtu na aplikovaný výzkum</w:t>
      </w:r>
      <w:r w:rsidR="003E3FCC" w:rsidRPr="00B5452C">
        <w:rPr>
          <w:b/>
          <w:color w:val="404040" w:themeColor="text1" w:themeTint="BF"/>
        </w:rPr>
        <w:t xml:space="preserve"> a návrh je v souladu s požadavky</w:t>
      </w:r>
      <w:r w:rsidRPr="00B5452C">
        <w:rPr>
          <w:b/>
          <w:color w:val="404040" w:themeColor="text1" w:themeTint="BF"/>
        </w:rPr>
        <w:t xml:space="preserve">. </w:t>
      </w:r>
      <w:r w:rsidR="00914FC8" w:rsidRPr="00B5452C">
        <w:rPr>
          <w:b/>
          <w:color w:val="404040" w:themeColor="text1" w:themeTint="BF"/>
        </w:rPr>
        <w:t>Návrh</w:t>
      </w:r>
      <w:r w:rsidRPr="00B5452C">
        <w:rPr>
          <w:b/>
          <w:color w:val="404040" w:themeColor="text1" w:themeTint="BF"/>
        </w:rPr>
        <w:t xml:space="preserve"> určuje na program EPSILON vypisovaný TAČR a TRIO pod MPO dohromady částku 2,2 mld. Kč. </w:t>
      </w:r>
      <w:r w:rsidR="00914FC8" w:rsidRPr="00B5452C">
        <w:rPr>
          <w:b/>
          <w:color w:val="404040" w:themeColor="text1" w:themeTint="BF"/>
        </w:rPr>
        <w:t>R</w:t>
      </w:r>
      <w:r w:rsidRPr="00B5452C">
        <w:rPr>
          <w:b/>
          <w:color w:val="404040" w:themeColor="text1" w:themeTint="BF"/>
        </w:rPr>
        <w:t xml:space="preserve">ozpočet na výzkum, vývoj a inovace na rok 2017 </w:t>
      </w:r>
      <w:r w:rsidR="00914FC8" w:rsidRPr="00B5452C">
        <w:rPr>
          <w:b/>
          <w:color w:val="404040" w:themeColor="text1" w:themeTint="BF"/>
        </w:rPr>
        <w:t>je</w:t>
      </w:r>
      <w:r w:rsidR="003E3FCC" w:rsidRPr="00B5452C">
        <w:rPr>
          <w:b/>
          <w:color w:val="404040" w:themeColor="text1" w:themeTint="BF"/>
        </w:rPr>
        <w:t xml:space="preserve"> z národních zdrojů</w:t>
      </w:r>
      <w:r w:rsidRPr="00B5452C">
        <w:rPr>
          <w:b/>
          <w:color w:val="404040" w:themeColor="text1" w:themeTint="BF"/>
        </w:rPr>
        <w:t xml:space="preserve"> ve výši 32,7 mld. Kč</w:t>
      </w:r>
      <w:r w:rsidR="002813A4" w:rsidRPr="00B5452C">
        <w:rPr>
          <w:b/>
          <w:color w:val="404040" w:themeColor="text1" w:themeTint="BF"/>
        </w:rPr>
        <w:t>.</w:t>
      </w:r>
      <w:r w:rsidR="003E3FCC" w:rsidRPr="00B5452C">
        <w:rPr>
          <w:b/>
          <w:color w:val="404040" w:themeColor="text1" w:themeTint="BF"/>
        </w:rPr>
        <w:t xml:space="preserve"> </w:t>
      </w:r>
      <w:r w:rsidR="002813A4" w:rsidRPr="00B5452C">
        <w:rPr>
          <w:b/>
          <w:color w:val="404040" w:themeColor="text1" w:themeTint="BF"/>
        </w:rPr>
        <w:t>Představuje to meziroční nárůst 3,6 miliardy. Jedná se o historicky nejvyšší celkový rozpočet na Va</w:t>
      </w:r>
      <w:r w:rsidR="00B5452C">
        <w:rPr>
          <w:b/>
          <w:color w:val="404040" w:themeColor="text1" w:themeTint="BF"/>
        </w:rPr>
        <w:t>V</w:t>
      </w:r>
      <w:r w:rsidR="002813A4" w:rsidRPr="00B5452C">
        <w:rPr>
          <w:b/>
          <w:color w:val="404040" w:themeColor="text1" w:themeTint="BF"/>
        </w:rPr>
        <w:t xml:space="preserve">. </w:t>
      </w:r>
      <w:r w:rsidR="002813A4" w:rsidRPr="00B5452C">
        <w:rPr>
          <w:b/>
          <w:color w:val="FF0000"/>
        </w:rPr>
        <w:t>Dotaz:</w:t>
      </w:r>
      <w:r w:rsidR="002813A4" w:rsidRPr="00B5452C">
        <w:rPr>
          <w:b/>
          <w:color w:val="404040" w:themeColor="text1" w:themeTint="BF"/>
        </w:rPr>
        <w:t xml:space="preserve"> </w:t>
      </w:r>
      <w:r w:rsidR="003E3FCC" w:rsidRPr="00B5452C">
        <w:rPr>
          <w:b/>
          <w:color w:val="FF0000"/>
        </w:rPr>
        <w:t xml:space="preserve">ve </w:t>
      </w:r>
      <w:r w:rsidR="006524E4">
        <w:rPr>
          <w:b/>
          <w:color w:val="FF0000"/>
        </w:rPr>
        <w:t>Z</w:t>
      </w:r>
      <w:r w:rsidR="006524E4" w:rsidRPr="00B5452C">
        <w:rPr>
          <w:b/>
          <w:color w:val="FF0000"/>
        </w:rPr>
        <w:t xml:space="preserve">právě </w:t>
      </w:r>
      <w:r w:rsidR="003E3FCC" w:rsidRPr="00B5452C">
        <w:rPr>
          <w:b/>
          <w:color w:val="FF0000"/>
        </w:rPr>
        <w:t>je uvedeno 32,8 mld. Kč</w:t>
      </w:r>
      <w:r w:rsidR="002813A4" w:rsidRPr="00B5452C">
        <w:rPr>
          <w:b/>
          <w:color w:val="FF0000"/>
        </w:rPr>
        <w:t xml:space="preserve"> a nárůst 3,7 mld. Kč</w:t>
      </w:r>
      <w:r w:rsidR="003E3FCC" w:rsidRPr="00B5452C">
        <w:rPr>
          <w:b/>
          <w:color w:val="FF0000"/>
        </w:rPr>
        <w:t xml:space="preserve"> v </w:t>
      </w:r>
      <w:r w:rsidR="006524E4">
        <w:rPr>
          <w:b/>
          <w:color w:val="FF0000"/>
        </w:rPr>
        <w:t>přiložených tabulkách</w:t>
      </w:r>
      <w:r w:rsidR="002813A4" w:rsidRPr="00B5452C">
        <w:rPr>
          <w:b/>
          <w:color w:val="FF0000"/>
        </w:rPr>
        <w:t xml:space="preserve"> rozpočtu </w:t>
      </w:r>
      <w:r w:rsidR="003E3FCC" w:rsidRPr="00B5452C">
        <w:rPr>
          <w:b/>
          <w:color w:val="FF0000"/>
        </w:rPr>
        <w:t>32,7 mld.</w:t>
      </w:r>
      <w:r w:rsidR="002813A4" w:rsidRPr="00B5452C">
        <w:rPr>
          <w:b/>
          <w:color w:val="FF0000"/>
        </w:rPr>
        <w:t xml:space="preserve"> </w:t>
      </w:r>
      <w:r w:rsidR="003E3FCC" w:rsidRPr="00B5452C">
        <w:rPr>
          <w:b/>
          <w:color w:val="FF0000"/>
        </w:rPr>
        <w:t>Kč?</w:t>
      </w:r>
    </w:p>
    <w:p w:rsidR="002203F3" w:rsidRPr="002C549C" w:rsidRDefault="002203F3" w:rsidP="002C549C">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sidRPr="002C549C">
        <w:rPr>
          <w:rFonts w:ascii="Calibri" w:hAnsi="Calibri" w:cs="Calibri"/>
          <w:b/>
          <w:color w:val="404040" w:themeColor="text1" w:themeTint="BF"/>
          <w:sz w:val="24"/>
          <w:u w:val="single"/>
        </w:rPr>
        <w:t>Digitální ekonomika</w:t>
      </w:r>
    </w:p>
    <w:p w:rsidR="002203F3" w:rsidRPr="00B5452C" w:rsidRDefault="002203F3" w:rsidP="002C549C">
      <w:pPr>
        <w:pStyle w:val="Odstavecseseznamem"/>
        <w:numPr>
          <w:ilvl w:val="0"/>
          <w:numId w:val="5"/>
        </w:numPr>
        <w:spacing w:after="40" w:line="269" w:lineRule="auto"/>
        <w:jc w:val="both"/>
        <w:rPr>
          <w:b/>
          <w:color w:val="404040" w:themeColor="text1" w:themeTint="BF"/>
        </w:rPr>
      </w:pPr>
      <w:r w:rsidRPr="00B5452C">
        <w:rPr>
          <w:b/>
          <w:color w:val="404040" w:themeColor="text1" w:themeTint="BF"/>
        </w:rPr>
        <w:t xml:space="preserve">Chtěli bychom se zeptat, zda se v rozpočtu Úřadu na ochranu osobních údajů počítá s navýšením prostředků v souvislosti s novými povinnostmi spojenými s daty a ochranou osobních údajů (kybernetická bezpečnost, Nařízení o ochraně osobních údajů). V návrhu rozpočtu je navržen meziroční </w:t>
      </w:r>
      <w:r w:rsidR="002813A4" w:rsidRPr="00B5452C">
        <w:rPr>
          <w:b/>
          <w:color w:val="404040" w:themeColor="text1" w:themeTint="BF"/>
        </w:rPr>
        <w:t xml:space="preserve">návrh o 5 </w:t>
      </w:r>
      <w:r w:rsidRPr="00B5452C">
        <w:rPr>
          <w:b/>
          <w:color w:val="404040" w:themeColor="text1" w:themeTint="BF"/>
        </w:rPr>
        <w:t xml:space="preserve">%. Chtěli bychom vědět, zda </w:t>
      </w:r>
      <w:r w:rsidR="002813A4" w:rsidRPr="00B5452C">
        <w:rPr>
          <w:b/>
          <w:color w:val="404040" w:themeColor="text1" w:themeTint="BF"/>
        </w:rPr>
        <w:t>tento již počítá s</w:t>
      </w:r>
      <w:r w:rsidRPr="00B5452C">
        <w:rPr>
          <w:b/>
          <w:color w:val="404040" w:themeColor="text1" w:themeTint="BF"/>
        </w:rPr>
        <w:t xml:space="preserve"> prostředky pro implementaci výše zmíněných norem</w:t>
      </w:r>
      <w:r w:rsidR="002813A4" w:rsidRPr="00B5452C">
        <w:rPr>
          <w:b/>
          <w:color w:val="404040" w:themeColor="text1" w:themeTint="BF"/>
        </w:rPr>
        <w:t>.</w:t>
      </w:r>
      <w:r w:rsidRPr="00B5452C">
        <w:rPr>
          <w:b/>
          <w:color w:val="404040" w:themeColor="text1" w:themeTint="BF"/>
        </w:rPr>
        <w:t xml:space="preserve"> </w:t>
      </w:r>
    </w:p>
    <w:p w:rsidR="00243C2F" w:rsidRDefault="002203F3">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sidRPr="00910908">
        <w:rPr>
          <w:rFonts w:ascii="Calibri" w:hAnsi="Calibri" w:cs="Calibri"/>
          <w:b/>
          <w:color w:val="404040" w:themeColor="text1" w:themeTint="BF"/>
          <w:sz w:val="24"/>
          <w:u w:val="single"/>
        </w:rPr>
        <w:t>Podpora exportu</w:t>
      </w:r>
    </w:p>
    <w:p w:rsidR="00C200B8" w:rsidRPr="00D3057A" w:rsidRDefault="00C200B8" w:rsidP="00C200B8">
      <w:pPr>
        <w:pStyle w:val="Odstavecseseznamem"/>
        <w:numPr>
          <w:ilvl w:val="0"/>
          <w:numId w:val="5"/>
        </w:numPr>
        <w:rPr>
          <w:b/>
        </w:rPr>
      </w:pPr>
      <w:r>
        <w:t>Dotace do ČEB jsou nově rozpočtovány na 1,33 mld. Kč, původně</w:t>
      </w:r>
      <w:r w:rsidR="00C57C84">
        <w:t xml:space="preserve"> (v materiálu, kterým se zabývala PT RHSD pro hospodářskou politiku v červenci) bylo plánováno</w:t>
      </w:r>
      <w:r>
        <w:t xml:space="preserve"> 1,27 mld.</w:t>
      </w:r>
      <w:r w:rsidR="00C57C84">
        <w:t xml:space="preserve"> Kč.</w:t>
      </w:r>
      <w:r>
        <w:t xml:space="preserve"> Posílení základního kapitálu</w:t>
      </w:r>
      <w:r w:rsidR="00C57C84">
        <w:t xml:space="preserve"> ČEB</w:t>
      </w:r>
      <w:r>
        <w:t xml:space="preserve"> je nadále</w:t>
      </w:r>
      <w:r w:rsidR="00C57C84">
        <w:t xml:space="preserve"> plánováno na</w:t>
      </w:r>
      <w:r>
        <w:t xml:space="preserve"> 1 mld</w:t>
      </w:r>
      <w:r w:rsidR="00C57C84">
        <w:t>. Kč</w:t>
      </w:r>
      <w:r>
        <w:t xml:space="preserve">. Dotace do pojistných fondů </w:t>
      </w:r>
      <w:r w:rsidR="00C57C84">
        <w:t xml:space="preserve">EGAP </w:t>
      </w:r>
      <w:r>
        <w:t>nově činí 2,8 mld.</w:t>
      </w:r>
      <w:r w:rsidR="00C57C84">
        <w:t xml:space="preserve"> Kč, v předchozím materiálu se plánovalo</w:t>
      </w:r>
      <w:r>
        <w:t xml:space="preserve"> 2,2 mld.</w:t>
      </w:r>
      <w:r w:rsidR="00C57C84">
        <w:t xml:space="preserve"> Kč</w:t>
      </w:r>
      <w:r>
        <w:t>.</w:t>
      </w:r>
      <w:r w:rsidR="00AD0B3E">
        <w:t xml:space="preserve"> </w:t>
      </w:r>
      <w:r w:rsidR="00AD0B3E" w:rsidRPr="00D3057A">
        <w:rPr>
          <w:b/>
        </w:rPr>
        <w:t>Celkově lze konstatovat, že zdroje na zajištění podpory exportu jsou zajištěny.</w:t>
      </w:r>
    </w:p>
    <w:p w:rsidR="00B5452C" w:rsidRDefault="00B5452C" w:rsidP="00B5452C">
      <w:pPr>
        <w:pStyle w:val="Odstavecseseznamem"/>
        <w:ind w:left="360"/>
      </w:pPr>
    </w:p>
    <w:p w:rsidR="00B5452C" w:rsidRDefault="00B5452C" w:rsidP="00B5452C">
      <w:pPr>
        <w:pStyle w:val="Odstavecseseznamem"/>
        <w:numPr>
          <w:ilvl w:val="0"/>
          <w:numId w:val="5"/>
        </w:numPr>
        <w:jc w:val="center"/>
      </w:pPr>
      <w:r w:rsidRPr="00B5452C">
        <w:rPr>
          <w:noProof/>
          <w:lang w:eastAsia="cs-CZ"/>
        </w:rPr>
        <w:drawing>
          <wp:inline distT="0" distB="0" distL="0" distR="0">
            <wp:extent cx="5633085" cy="1949450"/>
            <wp:effectExtent l="19050" t="0" r="5715" b="0"/>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33085" cy="1949450"/>
                    </a:xfrm>
                    <a:prstGeom prst="rect">
                      <a:avLst/>
                    </a:prstGeom>
                    <a:noFill/>
                    <a:ln w="9525">
                      <a:noFill/>
                      <a:miter lim="800000"/>
                      <a:headEnd/>
                      <a:tailEnd/>
                    </a:ln>
                  </pic:spPr>
                </pic:pic>
              </a:graphicData>
            </a:graphic>
          </wp:inline>
        </w:drawing>
      </w:r>
    </w:p>
    <w:p w:rsidR="002813A4" w:rsidRPr="00910908" w:rsidRDefault="002813A4" w:rsidP="00CB6D24">
      <w:pPr>
        <w:pStyle w:val="Odstavecseseznamem"/>
        <w:spacing w:after="40" w:line="269" w:lineRule="auto"/>
        <w:ind w:left="360"/>
        <w:jc w:val="both"/>
        <w:rPr>
          <w:rFonts w:ascii="Calibri" w:hAnsi="Calibri" w:cs="Calibri"/>
          <w:b/>
          <w:color w:val="404040" w:themeColor="text1" w:themeTint="BF"/>
          <w:sz w:val="24"/>
          <w:u w:val="single"/>
        </w:rPr>
      </w:pPr>
    </w:p>
    <w:p w:rsidR="00910908" w:rsidRPr="002203F3" w:rsidRDefault="00910908" w:rsidP="00910908">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Pr>
          <w:rFonts w:ascii="Calibri" w:hAnsi="Calibri" w:cs="Calibri"/>
          <w:b/>
          <w:color w:val="404040" w:themeColor="text1" w:themeTint="BF"/>
          <w:sz w:val="24"/>
          <w:u w:val="single"/>
        </w:rPr>
        <w:t>Efektivita výdajů a externí služby</w:t>
      </w:r>
    </w:p>
    <w:p w:rsidR="00EF11AC" w:rsidRPr="00B5452C" w:rsidRDefault="002813A4" w:rsidP="002813A4">
      <w:pPr>
        <w:pStyle w:val="Odstavecseseznamem"/>
        <w:numPr>
          <w:ilvl w:val="0"/>
          <w:numId w:val="5"/>
        </w:numPr>
        <w:spacing w:after="40" w:line="269" w:lineRule="auto"/>
        <w:jc w:val="both"/>
        <w:rPr>
          <w:rFonts w:ascii="Calibri" w:hAnsi="Calibri" w:cs="Calibri"/>
          <w:b/>
          <w:color w:val="404040" w:themeColor="text1" w:themeTint="BF"/>
          <w:sz w:val="24"/>
          <w:u w:val="single"/>
        </w:rPr>
      </w:pPr>
      <w:r w:rsidRPr="00B5452C">
        <w:rPr>
          <w:b/>
          <w:color w:val="404040" w:themeColor="text1" w:themeTint="BF"/>
        </w:rPr>
        <w:t>V</w:t>
      </w:r>
      <w:r w:rsidR="00EF11AC" w:rsidRPr="00B5452C">
        <w:rPr>
          <w:b/>
          <w:color w:val="404040" w:themeColor="text1" w:themeTint="BF"/>
        </w:rPr>
        <w:t xml:space="preserve">ýdaje na externí služby sice po dlouhé době v historii mají meziroční pokles o 0,1 %, ale oproti schválenému rozpočtu 2016, kde ale lze </w:t>
      </w:r>
      <w:r w:rsidR="001238D2" w:rsidRPr="00B5452C">
        <w:rPr>
          <w:b/>
          <w:color w:val="404040" w:themeColor="text1" w:themeTint="BF"/>
        </w:rPr>
        <w:t xml:space="preserve">(doufáme) </w:t>
      </w:r>
      <w:r w:rsidR="00EF11AC" w:rsidRPr="00B5452C">
        <w:rPr>
          <w:b/>
          <w:color w:val="404040" w:themeColor="text1" w:themeTint="BF"/>
        </w:rPr>
        <w:t xml:space="preserve">očekávat mnohem nižší skutečnost jako v předchozích letech. </w:t>
      </w:r>
      <w:r w:rsidR="001238D2" w:rsidRPr="00B5452C">
        <w:rPr>
          <w:b/>
          <w:color w:val="404040" w:themeColor="text1" w:themeTint="BF"/>
        </w:rPr>
        <w:t>Návrh tedy neobsahuje snížení oproti skutečnosti. Pravděpodobně nechává opět prostor lepšímu než očekávanému výsledku (pokud nebude chtít státní správa celkový rozpočet záměrně vyčerpat).</w:t>
      </w:r>
    </w:p>
    <w:p w:rsidR="00D26275" w:rsidRDefault="00CB6D24" w:rsidP="006524E4">
      <w:pPr>
        <w:autoSpaceDE w:val="0"/>
        <w:autoSpaceDN w:val="0"/>
        <w:adjustRightInd w:val="0"/>
        <w:spacing w:after="0" w:line="288" w:lineRule="auto"/>
        <w:jc w:val="center"/>
        <w:textAlignment w:val="center"/>
        <w:rPr>
          <w:rFonts w:ascii="Calibri" w:hAnsi="Calibri" w:cs="Calibri"/>
          <w:color w:val="404040" w:themeColor="text1" w:themeTint="BF"/>
        </w:rPr>
      </w:pPr>
      <w:r w:rsidRPr="00CB6D24">
        <w:rPr>
          <w:noProof/>
          <w:lang w:eastAsia="cs-CZ"/>
        </w:rPr>
        <w:lastRenderedPageBreak/>
        <w:drawing>
          <wp:inline distT="0" distB="0" distL="0" distR="0">
            <wp:extent cx="6120130" cy="2018232"/>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0130" cy="2018232"/>
                    </a:xfrm>
                    <a:prstGeom prst="rect">
                      <a:avLst/>
                    </a:prstGeom>
                    <a:noFill/>
                    <a:ln w="9525">
                      <a:noFill/>
                      <a:miter lim="800000"/>
                      <a:headEnd/>
                      <a:tailEnd/>
                    </a:ln>
                  </pic:spPr>
                </pic:pic>
              </a:graphicData>
            </a:graphic>
          </wp:inline>
        </w:drawing>
      </w:r>
    </w:p>
    <w:p w:rsidR="00CB6D24" w:rsidRDefault="00CB6D24" w:rsidP="00CB6D24">
      <w:pPr>
        <w:pStyle w:val="Odstavecseseznamem"/>
        <w:autoSpaceDE w:val="0"/>
        <w:autoSpaceDN w:val="0"/>
        <w:adjustRightInd w:val="0"/>
        <w:spacing w:after="0" w:line="288" w:lineRule="auto"/>
        <w:ind w:left="792"/>
        <w:jc w:val="both"/>
        <w:textAlignment w:val="center"/>
        <w:rPr>
          <w:rFonts w:ascii="Calibri" w:hAnsi="Calibri" w:cs="Calibri"/>
          <w:b/>
          <w:color w:val="404040" w:themeColor="text1" w:themeTint="BF"/>
          <w:sz w:val="24"/>
          <w:u w:val="single"/>
        </w:rPr>
      </w:pPr>
    </w:p>
    <w:p w:rsidR="00CB6D24" w:rsidRDefault="00CB6D24" w:rsidP="00CB6D24">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Pr>
          <w:rFonts w:ascii="Calibri" w:hAnsi="Calibri" w:cs="Calibri"/>
          <w:b/>
          <w:color w:val="404040" w:themeColor="text1" w:themeTint="BF"/>
          <w:sz w:val="24"/>
          <w:u w:val="single"/>
        </w:rPr>
        <w:t>Poplatky placené průmyslem, které jsou příjmem SR, ale nevrací se do potřebných oblastí či absentují systémová opatření</w:t>
      </w:r>
    </w:p>
    <w:p w:rsidR="00D3057A" w:rsidRPr="00D3057A" w:rsidRDefault="00D3057A" w:rsidP="00D3057A">
      <w:pPr>
        <w:pStyle w:val="Odstavecseseznamem"/>
        <w:numPr>
          <w:ilvl w:val="0"/>
          <w:numId w:val="5"/>
        </w:numPr>
        <w:autoSpaceDE w:val="0"/>
        <w:autoSpaceDN w:val="0"/>
        <w:adjustRightInd w:val="0"/>
        <w:spacing w:after="0" w:line="288" w:lineRule="auto"/>
        <w:jc w:val="both"/>
        <w:textAlignment w:val="center"/>
        <w:rPr>
          <w:rFonts w:ascii="Calibri" w:hAnsi="Calibri" w:cs="Calibri"/>
          <w:color w:val="404040" w:themeColor="text1" w:themeTint="BF"/>
        </w:rPr>
      </w:pPr>
      <w:r>
        <w:rPr>
          <w:rFonts w:ascii="Calibri" w:hAnsi="Calibri" w:cs="Calibri"/>
          <w:color w:val="404040" w:themeColor="text1" w:themeTint="BF"/>
        </w:rPr>
        <w:t>Systémové řešení v oblasti vodního hospodářství a nastavení p</w:t>
      </w:r>
      <w:r w:rsidR="00315C9B" w:rsidRPr="00D3057A">
        <w:rPr>
          <w:rFonts w:ascii="Calibri" w:hAnsi="Calibri" w:cs="Calibri"/>
          <w:color w:val="404040" w:themeColor="text1" w:themeTint="BF"/>
        </w:rPr>
        <w:t>oplatk</w:t>
      </w:r>
      <w:r>
        <w:rPr>
          <w:rFonts w:ascii="Calibri" w:hAnsi="Calibri" w:cs="Calibri"/>
          <w:color w:val="404040" w:themeColor="text1" w:themeTint="BF"/>
        </w:rPr>
        <w:t>ů</w:t>
      </w:r>
      <w:r w:rsidR="00315C9B" w:rsidRPr="00D3057A">
        <w:rPr>
          <w:rFonts w:ascii="Calibri" w:hAnsi="Calibri" w:cs="Calibri"/>
          <w:color w:val="404040" w:themeColor="text1" w:themeTint="BF"/>
        </w:rPr>
        <w:t xml:space="preserve"> za odběr vody.</w:t>
      </w:r>
    </w:p>
    <w:p w:rsidR="009A5437" w:rsidRPr="009A5437" w:rsidRDefault="009A5437" w:rsidP="009A5437">
      <w:pPr>
        <w:pStyle w:val="Prosttext"/>
        <w:numPr>
          <w:ilvl w:val="0"/>
          <w:numId w:val="5"/>
        </w:numPr>
        <w:rPr>
          <w:rFonts w:ascii="Calibri" w:hAnsi="Calibri"/>
          <w:color w:val="404040" w:themeColor="text1" w:themeTint="BF"/>
          <w:sz w:val="22"/>
          <w:szCs w:val="22"/>
        </w:rPr>
      </w:pPr>
      <w:r w:rsidRPr="009A5437">
        <w:rPr>
          <w:rFonts w:ascii="Calibri" w:hAnsi="Calibri"/>
          <w:color w:val="404040" w:themeColor="text1" w:themeTint="BF"/>
          <w:sz w:val="22"/>
          <w:szCs w:val="22"/>
        </w:rPr>
        <w:t>Příjem z poplatků za prodej technických norem je násobně vyšší, než přidělené prostředky na normotvornou činnost ÚNMZ (v roce 2015 příjmy činily 85,9 mil. Kč, letos se očekává mírný nárůst, alokace výdajů na přejímání technických norem pro rok 2016 30 činí cca 23. mil. Kč, celkem na Plán technické normalizace jde 30 mil. Kč), což limituje například překladatelskou činnost u potřebných norem.</w:t>
      </w:r>
    </w:p>
    <w:p w:rsidR="00243C2F" w:rsidRPr="00E65D36" w:rsidRDefault="006D4C13" w:rsidP="00E65D36">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Pr>
          <w:rFonts w:ascii="Calibri" w:hAnsi="Calibri" w:cs="Calibri"/>
          <w:b/>
          <w:color w:val="404040" w:themeColor="text1" w:themeTint="BF"/>
          <w:sz w:val="24"/>
          <w:u w:val="single"/>
        </w:rPr>
        <w:t>Výdaje na platy státních zaměstnanců</w:t>
      </w:r>
    </w:p>
    <w:p w:rsidR="00243C2F" w:rsidRDefault="00CF592F">
      <w:pPr>
        <w:pStyle w:val="Odstavecseseznamem"/>
        <w:numPr>
          <w:ilvl w:val="0"/>
          <w:numId w:val="5"/>
        </w:numPr>
        <w:autoSpaceDE w:val="0"/>
        <w:autoSpaceDN w:val="0"/>
        <w:adjustRightInd w:val="0"/>
        <w:spacing w:after="0" w:line="288" w:lineRule="auto"/>
        <w:jc w:val="both"/>
        <w:textAlignment w:val="center"/>
        <w:rPr>
          <w:rFonts w:ascii="Calibri" w:hAnsi="Calibri" w:cs="Calibri"/>
          <w:color w:val="404040" w:themeColor="text1" w:themeTint="BF"/>
        </w:rPr>
      </w:pPr>
      <w:r>
        <w:rPr>
          <w:rFonts w:ascii="Calibri" w:hAnsi="Calibri" w:cs="Calibri"/>
          <w:color w:val="404040" w:themeColor="text1" w:themeTint="BF"/>
        </w:rPr>
        <w:t>V návrhu rozpočtu dochází k razantnímu nárůstu výdajů na platy státních zaměstnanců.</w:t>
      </w:r>
      <w:r w:rsidR="00ED779C">
        <w:rPr>
          <w:rFonts w:ascii="Calibri" w:hAnsi="Calibri" w:cs="Calibri"/>
          <w:color w:val="404040" w:themeColor="text1" w:themeTint="BF"/>
        </w:rPr>
        <w:t xml:space="preserve"> Meziročně dochází k navýšení objemu platů o cca 8 %. Je to způsobena jednak růstem platů státních zaměstnanců, tak nabíráním nových zaměstnanců. Např. tarify učitelů budou navýšeny o 6 % a tarify ostatních státních zaměstnanců o 4 %.</w:t>
      </w:r>
      <w:r w:rsidR="00B27BDE">
        <w:rPr>
          <w:rFonts w:ascii="Calibri" w:hAnsi="Calibri" w:cs="Calibri"/>
          <w:color w:val="404040" w:themeColor="text1" w:themeTint="BF"/>
        </w:rPr>
        <w:t xml:space="preserve"> Nabírat nové zaměstnance budou zejména MF, které je potřebuje na zajištění agend prokazování původu majetku, KH atd., MV na zajištění agendy v souvislosti s migrací, MSp a další. Celkově lze chápat navyšování stavu státních zaměstnanců na zajištění bezpečnosti země či na zlepšení výběru daní, ale růst platů ve veřejné sféře není zdrav</w:t>
      </w:r>
      <w:r w:rsidR="009C62B4">
        <w:rPr>
          <w:rFonts w:ascii="Calibri" w:hAnsi="Calibri" w:cs="Calibri"/>
          <w:color w:val="404040" w:themeColor="text1" w:themeTint="BF"/>
        </w:rPr>
        <w:t>ý</w:t>
      </w:r>
      <w:r w:rsidR="00B27BDE">
        <w:rPr>
          <w:rFonts w:ascii="Calibri" w:hAnsi="Calibri" w:cs="Calibri"/>
          <w:color w:val="404040" w:themeColor="text1" w:themeTint="BF"/>
        </w:rPr>
        <w:t xml:space="preserve"> a bude tlačit na zvyšování nákladů i v soukromé sféře.</w:t>
      </w:r>
    </w:p>
    <w:p w:rsidR="00243C2F" w:rsidRDefault="00243C2F">
      <w:pPr>
        <w:pStyle w:val="Odstavecseseznamem"/>
        <w:autoSpaceDE w:val="0"/>
        <w:autoSpaceDN w:val="0"/>
        <w:adjustRightInd w:val="0"/>
        <w:spacing w:after="0" w:line="288" w:lineRule="auto"/>
        <w:ind w:left="360"/>
        <w:jc w:val="both"/>
        <w:textAlignment w:val="center"/>
        <w:rPr>
          <w:rFonts w:ascii="Calibri" w:hAnsi="Calibri" w:cs="Calibri"/>
          <w:color w:val="404040" w:themeColor="text1" w:themeTint="BF"/>
        </w:rPr>
      </w:pPr>
    </w:p>
    <w:p w:rsidR="006D4C13" w:rsidRDefault="002A0353" w:rsidP="006D4C13">
      <w:pPr>
        <w:autoSpaceDE w:val="0"/>
        <w:autoSpaceDN w:val="0"/>
        <w:adjustRightInd w:val="0"/>
        <w:spacing w:after="0" w:line="288" w:lineRule="auto"/>
        <w:jc w:val="both"/>
        <w:textAlignment w:val="center"/>
        <w:rPr>
          <w:rFonts w:ascii="Calibri" w:hAnsi="Calibri" w:cs="Calibri"/>
          <w:color w:val="404040" w:themeColor="text1" w:themeTint="BF"/>
        </w:rPr>
      </w:pPr>
      <w:r>
        <w:rPr>
          <w:noProof/>
          <w:lang w:eastAsia="cs-CZ"/>
        </w:rPr>
        <w:drawing>
          <wp:inline distT="0" distB="0" distL="0" distR="0">
            <wp:extent cx="5756275" cy="1191260"/>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6275" cy="1191260"/>
                    </a:xfrm>
                    <a:prstGeom prst="rect">
                      <a:avLst/>
                    </a:prstGeom>
                    <a:noFill/>
                    <a:ln w="9525">
                      <a:noFill/>
                      <a:miter lim="800000"/>
                      <a:headEnd/>
                      <a:tailEnd/>
                    </a:ln>
                  </pic:spPr>
                </pic:pic>
              </a:graphicData>
            </a:graphic>
          </wp:inline>
        </w:drawing>
      </w:r>
    </w:p>
    <w:p w:rsidR="00F21AB3" w:rsidRDefault="00F21AB3" w:rsidP="006D4C13">
      <w:pPr>
        <w:autoSpaceDE w:val="0"/>
        <w:autoSpaceDN w:val="0"/>
        <w:adjustRightInd w:val="0"/>
        <w:spacing w:after="0" w:line="288" w:lineRule="auto"/>
        <w:jc w:val="both"/>
        <w:textAlignment w:val="center"/>
        <w:rPr>
          <w:rFonts w:ascii="Calibri" w:hAnsi="Calibri" w:cs="Calibri"/>
          <w:color w:val="404040" w:themeColor="text1" w:themeTint="BF"/>
        </w:rPr>
      </w:pPr>
    </w:p>
    <w:p w:rsidR="00243C2F" w:rsidRPr="00E65D36" w:rsidRDefault="00315C9B" w:rsidP="00E65D36">
      <w:pPr>
        <w:pStyle w:val="Odstavecseseznamem"/>
        <w:numPr>
          <w:ilvl w:val="1"/>
          <w:numId w:val="11"/>
        </w:numPr>
        <w:autoSpaceDE w:val="0"/>
        <w:autoSpaceDN w:val="0"/>
        <w:adjustRightInd w:val="0"/>
        <w:spacing w:after="0" w:line="288" w:lineRule="auto"/>
        <w:ind w:left="426" w:hanging="284"/>
        <w:jc w:val="both"/>
        <w:textAlignment w:val="center"/>
        <w:rPr>
          <w:rFonts w:ascii="Calibri" w:hAnsi="Calibri" w:cs="Calibri"/>
          <w:b/>
          <w:color w:val="404040" w:themeColor="text1" w:themeTint="BF"/>
          <w:sz w:val="24"/>
          <w:u w:val="single"/>
        </w:rPr>
      </w:pPr>
      <w:r w:rsidRPr="00315C9B">
        <w:rPr>
          <w:rFonts w:ascii="Calibri" w:hAnsi="Calibri" w:cs="Calibri"/>
          <w:b/>
          <w:color w:val="404040" w:themeColor="text1" w:themeTint="BF"/>
          <w:sz w:val="24"/>
          <w:u w:val="single"/>
        </w:rPr>
        <w:t>Kapitálové výdaje</w:t>
      </w:r>
    </w:p>
    <w:p w:rsidR="00243C2F" w:rsidRDefault="005B1031">
      <w:pPr>
        <w:pStyle w:val="Odstavecseseznamem"/>
        <w:numPr>
          <w:ilvl w:val="0"/>
          <w:numId w:val="5"/>
        </w:numPr>
        <w:autoSpaceDE w:val="0"/>
        <w:autoSpaceDN w:val="0"/>
        <w:adjustRightInd w:val="0"/>
        <w:spacing w:after="0" w:line="288" w:lineRule="auto"/>
        <w:jc w:val="both"/>
        <w:textAlignment w:val="center"/>
        <w:rPr>
          <w:rFonts w:ascii="Calibri" w:hAnsi="Calibri" w:cs="Calibri"/>
          <w:color w:val="404040" w:themeColor="text1" w:themeTint="BF"/>
        </w:rPr>
      </w:pPr>
      <w:r>
        <w:rPr>
          <w:rFonts w:ascii="Calibri" w:hAnsi="Calibri" w:cs="Calibri"/>
          <w:color w:val="404040" w:themeColor="text1" w:themeTint="BF"/>
        </w:rPr>
        <w:t xml:space="preserve">Kapitálové výdaje jsou rozpočtovány ve výši 103 mld. Kč a meziročně dochází k nárůstu o 24,5 mld. Kč. Otázka je, jestli např. výdaje na infrastrukturu budou prostavěny – </w:t>
      </w:r>
      <w:r w:rsidR="00B5452C">
        <w:rPr>
          <w:rFonts w:ascii="Calibri" w:hAnsi="Calibri" w:cs="Calibri"/>
          <w:color w:val="404040" w:themeColor="text1" w:themeTint="BF"/>
        </w:rPr>
        <w:t xml:space="preserve">například </w:t>
      </w:r>
      <w:r>
        <w:rPr>
          <w:rFonts w:ascii="Calibri" w:hAnsi="Calibri" w:cs="Calibri"/>
          <w:color w:val="404040" w:themeColor="text1" w:themeTint="BF"/>
        </w:rPr>
        <w:t>vzhledem k problémům s povolovacím řízením.</w:t>
      </w:r>
    </w:p>
    <w:p w:rsidR="00B5452C" w:rsidRDefault="00B5452C">
      <w:pPr>
        <w:rPr>
          <w:rFonts w:ascii="Calibri" w:hAnsi="Calibri" w:cs="Calibri"/>
          <w:color w:val="404040" w:themeColor="text1" w:themeTint="BF"/>
        </w:rPr>
      </w:pPr>
      <w:r>
        <w:rPr>
          <w:rFonts w:ascii="Calibri" w:hAnsi="Calibri" w:cs="Calibri"/>
          <w:color w:val="404040" w:themeColor="text1" w:themeTint="BF"/>
        </w:rPr>
        <w:br w:type="page"/>
      </w:r>
    </w:p>
    <w:p w:rsidR="00F21AB3" w:rsidRPr="00B5452C" w:rsidRDefault="00B5452C" w:rsidP="006D4C13">
      <w:pPr>
        <w:autoSpaceDE w:val="0"/>
        <w:autoSpaceDN w:val="0"/>
        <w:adjustRightInd w:val="0"/>
        <w:spacing w:after="0" w:line="288" w:lineRule="auto"/>
        <w:jc w:val="both"/>
        <w:textAlignment w:val="center"/>
        <w:rPr>
          <w:rFonts w:ascii="Calibri" w:hAnsi="Calibri" w:cs="Calibri"/>
          <w:b/>
          <w:color w:val="404040" w:themeColor="text1" w:themeTint="BF"/>
        </w:rPr>
      </w:pPr>
      <w:r w:rsidRPr="00B5452C">
        <w:rPr>
          <w:rFonts w:ascii="Calibri" w:hAnsi="Calibri" w:cs="Calibri"/>
          <w:b/>
          <w:color w:val="404040" w:themeColor="text1" w:themeTint="BF"/>
        </w:rPr>
        <w:lastRenderedPageBreak/>
        <w:t>Příloha 1:_Celkový přehled výdajů SR dle kapitol</w:t>
      </w:r>
    </w:p>
    <w:p w:rsidR="00A0083D" w:rsidRDefault="002813A4" w:rsidP="008D499F">
      <w:pPr>
        <w:rPr>
          <w:color w:val="404040" w:themeColor="text1" w:themeTint="BF"/>
        </w:rPr>
      </w:pPr>
      <w:r w:rsidRPr="002813A4">
        <w:rPr>
          <w:noProof/>
          <w:lang w:eastAsia="cs-CZ"/>
        </w:rPr>
        <w:drawing>
          <wp:inline distT="0" distB="0" distL="0" distR="0">
            <wp:extent cx="6122958" cy="5932837"/>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0256"/>
                    <a:stretch>
                      <a:fillRect/>
                    </a:stretch>
                  </pic:blipFill>
                  <pic:spPr bwMode="auto">
                    <a:xfrm>
                      <a:off x="0" y="0"/>
                      <a:ext cx="6122958" cy="5932837"/>
                    </a:xfrm>
                    <a:prstGeom prst="rect">
                      <a:avLst/>
                    </a:prstGeom>
                    <a:noFill/>
                    <a:ln w="9525">
                      <a:noFill/>
                      <a:miter lim="800000"/>
                      <a:headEnd/>
                      <a:tailEnd/>
                    </a:ln>
                  </pic:spPr>
                </pic:pic>
              </a:graphicData>
            </a:graphic>
          </wp:inline>
        </w:drawing>
      </w:r>
    </w:p>
    <w:p w:rsidR="00B5452C" w:rsidRDefault="00B5452C">
      <w:pPr>
        <w:rPr>
          <w:color w:val="404040" w:themeColor="text1" w:themeTint="BF"/>
        </w:rPr>
      </w:pPr>
      <w:r>
        <w:rPr>
          <w:color w:val="404040" w:themeColor="text1" w:themeTint="BF"/>
        </w:rPr>
        <w:br w:type="page"/>
      </w:r>
    </w:p>
    <w:p w:rsidR="00D80551" w:rsidRPr="00B5452C" w:rsidRDefault="00D80551" w:rsidP="00B5452C">
      <w:pPr>
        <w:autoSpaceDE w:val="0"/>
        <w:autoSpaceDN w:val="0"/>
        <w:adjustRightInd w:val="0"/>
        <w:spacing w:after="0" w:line="288" w:lineRule="auto"/>
        <w:jc w:val="both"/>
        <w:textAlignment w:val="center"/>
        <w:rPr>
          <w:rFonts w:ascii="Calibri" w:hAnsi="Calibri" w:cs="Calibri"/>
          <w:b/>
          <w:color w:val="404040" w:themeColor="text1" w:themeTint="BF"/>
        </w:rPr>
      </w:pPr>
      <w:r w:rsidRPr="00B5452C">
        <w:rPr>
          <w:rFonts w:ascii="Calibri" w:hAnsi="Calibri" w:cs="Calibri"/>
          <w:b/>
          <w:color w:val="404040" w:themeColor="text1" w:themeTint="BF"/>
        </w:rPr>
        <w:lastRenderedPageBreak/>
        <w:t>Příloha</w:t>
      </w:r>
      <w:r w:rsidR="00B5452C">
        <w:rPr>
          <w:rFonts w:ascii="Calibri" w:hAnsi="Calibri" w:cs="Calibri"/>
          <w:b/>
          <w:color w:val="404040" w:themeColor="text1" w:themeTint="BF"/>
        </w:rPr>
        <w:t xml:space="preserve"> 2</w:t>
      </w:r>
      <w:r w:rsidRPr="00B5452C">
        <w:rPr>
          <w:rFonts w:ascii="Calibri" w:hAnsi="Calibri" w:cs="Calibri"/>
          <w:b/>
          <w:color w:val="404040" w:themeColor="text1" w:themeTint="BF"/>
        </w:rPr>
        <w:t>: Daňové příjmy</w:t>
      </w:r>
    </w:p>
    <w:p w:rsidR="00D80551" w:rsidRDefault="00D80551" w:rsidP="00D80551">
      <w:pPr>
        <w:pStyle w:val="Odstavecseseznamem"/>
        <w:spacing w:after="40" w:line="269" w:lineRule="auto"/>
        <w:ind w:left="360"/>
        <w:jc w:val="both"/>
        <w:rPr>
          <w:color w:val="404040" w:themeColor="text1" w:themeTint="BF"/>
          <w:highlight w:val="yellow"/>
        </w:rPr>
      </w:pPr>
    </w:p>
    <w:p w:rsidR="00D80551" w:rsidRDefault="00D80551" w:rsidP="00D80551">
      <w:pPr>
        <w:pStyle w:val="Odstavecseseznamem"/>
        <w:spacing w:after="0"/>
        <w:ind w:left="360"/>
      </w:pPr>
      <w:r>
        <w:rPr>
          <w:noProof/>
          <w:lang w:eastAsia="cs-CZ"/>
        </w:rPr>
        <w:drawing>
          <wp:inline distT="0" distB="0" distL="0" distR="0">
            <wp:extent cx="5756275" cy="5126355"/>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56275" cy="5126355"/>
                    </a:xfrm>
                    <a:prstGeom prst="rect">
                      <a:avLst/>
                    </a:prstGeom>
                    <a:noFill/>
                    <a:ln w="9525">
                      <a:noFill/>
                      <a:miter lim="800000"/>
                      <a:headEnd/>
                      <a:tailEnd/>
                    </a:ln>
                  </pic:spPr>
                </pic:pic>
              </a:graphicData>
            </a:graphic>
          </wp:inline>
        </w:drawing>
      </w:r>
    </w:p>
    <w:p w:rsidR="00D80551" w:rsidRDefault="00D80551" w:rsidP="00D80551">
      <w:pPr>
        <w:pStyle w:val="Odstavecseseznamem"/>
        <w:spacing w:after="0"/>
        <w:ind w:left="360"/>
      </w:pPr>
    </w:p>
    <w:p w:rsidR="00D80551" w:rsidRPr="000776E8" w:rsidRDefault="00D80551" w:rsidP="008D499F">
      <w:pPr>
        <w:rPr>
          <w:color w:val="404040" w:themeColor="text1" w:themeTint="BF"/>
        </w:rPr>
      </w:pPr>
    </w:p>
    <w:sectPr w:rsidR="00D80551" w:rsidRPr="000776E8" w:rsidSect="004B2742">
      <w:headerReference w:type="first" r:id="rId14"/>
      <w:footerReference w:type="first" r:id="rId15"/>
      <w:pgSz w:w="11906" w:h="16838"/>
      <w:pgMar w:top="1418" w:right="1134" w:bottom="1418" w:left="1134" w:header="709" w:footer="1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A1" w:rsidRDefault="002636A1" w:rsidP="005F7548">
      <w:pPr>
        <w:spacing w:after="0" w:line="240" w:lineRule="auto"/>
      </w:pPr>
      <w:r>
        <w:separator/>
      </w:r>
    </w:p>
  </w:endnote>
  <w:endnote w:type="continuationSeparator" w:id="0">
    <w:p w:rsidR="002636A1" w:rsidRDefault="002636A1" w:rsidP="005F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42" w:rsidRDefault="00A00EEF">
    <w:pPr>
      <w:pStyle w:val="Zpat"/>
    </w:pPr>
    <w:r>
      <w:rPr>
        <w:noProof/>
        <w:lang w:eastAsia="cs-CZ"/>
      </w:rPr>
      <w:pict>
        <v:shapetype id="_x0000_t202" coordsize="21600,21600" o:spt="202" path="m,l,21600r21600,l21600,xe">
          <v:stroke joinstyle="miter"/>
          <v:path gradientshapeok="t" o:connecttype="rect"/>
        </v:shapetype>
        <v:shape id="Textové pole 6" o:spid="_x0000_s2051" type="#_x0000_t202" style="position:absolute;margin-left:357.2pt;margin-top:20.4pt;width:33.75pt;height:18.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" fillcolor="white [3201]" stroked="f" strokeweight=".5pt">
          <v:textbox inset="0,,0">
            <w:txbxContent>
              <w:p w:rsidR="00AA09C1" w:rsidRPr="00000194" w:rsidRDefault="00AA09C1" w:rsidP="00AA09C1">
                <w:pPr>
                  <w:pStyle w:val="Zkladnodstavec"/>
                  <w:rPr>
                    <w:rFonts w:ascii="Calibri" w:hAnsi="Calibri" w:cs="Calibri"/>
                    <w:caps/>
                    <w:color w:val="0093D6"/>
                    <w:sz w:val="12"/>
                    <w:szCs w:val="12"/>
                  </w:rPr>
                </w:pPr>
                <w:r w:rsidRPr="00000194">
                  <w:rPr>
                    <w:rFonts w:ascii="Calibri" w:hAnsi="Calibri" w:cs="Calibri"/>
                    <w:caps/>
                    <w:color w:val="0093D6"/>
                    <w:sz w:val="12"/>
                    <w:szCs w:val="12"/>
                  </w:rPr>
                  <w:t>člen</w:t>
                </w:r>
              </w:p>
            </w:txbxContent>
          </v:textbox>
        </v:shape>
      </w:pict>
    </w:r>
    <w:r w:rsidR="004B2742">
      <w:rPr>
        <w:noProof/>
        <w:lang w:eastAsia="cs-CZ"/>
      </w:rPr>
      <w:drawing>
        <wp:anchor distT="0" distB="0" distL="114300" distR="114300" simplePos="0" relativeHeight="251660288" behindDoc="0" locked="0" layoutInCell="1" allowOverlap="1">
          <wp:simplePos x="0" y="0"/>
          <wp:positionH relativeFrom="column">
            <wp:posOffset>4900295</wp:posOffset>
          </wp:positionH>
          <wp:positionV relativeFrom="paragraph">
            <wp:posOffset>323850</wp:posOffset>
          </wp:positionV>
          <wp:extent cx="1170000" cy="2160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urope.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0000" cy="216000"/>
                  </a:xfrm>
                  <a:prstGeom prst="rect">
                    <a:avLst/>
                  </a:prstGeom>
                </pic:spPr>
              </pic:pic>
            </a:graphicData>
          </a:graphic>
        </wp:anchor>
      </w:drawing>
    </w:r>
    <w:r>
      <w:rPr>
        <w:noProof/>
        <w:lang w:eastAsia="cs-CZ"/>
      </w:rPr>
      <w:pict>
        <v:shape id="Textové pole 5" o:spid="_x0000_s2050" type="#_x0000_t202" style="position:absolute;margin-left:2.25pt;margin-top:20.4pt;width:327.7pt;height:82.7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" fillcolor="white [3201]" stroked="f" strokeweight=".5pt">
          <v:textbox inset="0,,0">
            <w:txbxContent>
              <w:p w:rsidR="00AA09C1" w:rsidRDefault="00AA09C1" w:rsidP="00AA09C1">
                <w:pPr>
                  <w:pStyle w:val="Zkladnodstavec"/>
                  <w:rPr>
                    <w:rFonts w:ascii="Calibri" w:hAnsi="Calibri" w:cs="Calibri"/>
                    <w:caps/>
                    <w:color w:val="0092D5"/>
                    <w:sz w:val="12"/>
                    <w:szCs w:val="12"/>
                  </w:rPr>
                </w:pPr>
                <w:r w:rsidRPr="00000194">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000194">
                  <w:rPr>
                    <w:rFonts w:ascii="Calibri" w:hAnsi="Calibri" w:cs="Calibri"/>
                    <w:caps/>
                    <w:color w:val="0093D6"/>
                    <w:sz w:val="12"/>
                    <w:szCs w:val="12"/>
                  </w:rPr>
                  <w:t xml:space="preserve">|  E-mail  </w:t>
                </w:r>
                <w:r>
                  <w:rPr>
                    <w:rFonts w:ascii="Calibri" w:hAnsi="Calibri" w:cs="Calibri"/>
                    <w:caps/>
                    <w:color w:val="272154"/>
                    <w:sz w:val="16"/>
                    <w:szCs w:val="16"/>
                  </w:rPr>
                  <w:t>spcr@spcr.cz</w:t>
                </w:r>
              </w:p>
              <w:p w:rsidR="00945BF2" w:rsidRPr="00820FF9" w:rsidRDefault="00AA09C1" w:rsidP="00945BF2">
                <w:pPr>
                  <w:rPr>
                    <w:caps/>
                  </w:rPr>
                </w:pPr>
                <w:r w:rsidRPr="00000194">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000194">
                  <w:rPr>
                    <w:rFonts w:ascii="Calibri" w:hAnsi="Calibri" w:cs="Calibri"/>
                    <w:caps/>
                    <w:color w:val="0093D6"/>
                    <w:sz w:val="12"/>
                    <w:szCs w:val="12"/>
                  </w:rPr>
                  <w:t xml:space="preserve">|  Adresa  </w:t>
                </w:r>
                <w:r>
                  <w:rPr>
                    <w:rFonts w:ascii="Calibri" w:hAnsi="Calibri" w:cs="Calibri"/>
                    <w:caps/>
                    <w:color w:val="272154"/>
                    <w:sz w:val="16"/>
                    <w:szCs w:val="16"/>
                  </w:rPr>
                  <w:t>Freyova 948/11, 190 00 Praha 9</w:t>
                </w:r>
                <w:r w:rsidR="00945BF2">
                  <w:rPr>
                    <w:rFonts w:ascii="Calibri" w:hAnsi="Calibri" w:cs="Calibri"/>
                    <w:caps/>
                    <w:color w:val="272154"/>
                    <w:sz w:val="16"/>
                    <w:szCs w:val="16"/>
                  </w:rPr>
                  <w:br/>
                </w:r>
                <w:r w:rsidR="00945BF2" w:rsidRPr="00000194">
                  <w:rPr>
                    <w:rFonts w:ascii="Calibri" w:hAnsi="Calibri" w:cs="Calibri"/>
                    <w:caps/>
                    <w:color w:val="0093D6"/>
                    <w:sz w:val="12"/>
                    <w:szCs w:val="12"/>
                  </w:rPr>
                  <w:t xml:space="preserve">Zapsaný ve spolkovém rejstříku, vedeném Městským soudem v Praze oddíl L, vložka 3148. </w:t>
                </w:r>
                <w:r w:rsidR="00945BF2" w:rsidRPr="00000194">
                  <w:rPr>
                    <w:rFonts w:ascii="Calibri" w:hAnsi="Calibri" w:cs="Calibri"/>
                    <w:caps/>
                    <w:color w:val="0093D6"/>
                    <w:sz w:val="12"/>
                    <w:szCs w:val="12"/>
                  </w:rPr>
                  <w:br/>
                  <w:t>IČ</w:t>
                </w:r>
                <w:r w:rsidR="00000194">
                  <w:rPr>
                    <w:rFonts w:ascii="Calibri" w:hAnsi="Calibri" w:cs="Calibri"/>
                    <w:caps/>
                    <w:color w:val="0093D6"/>
                    <w:sz w:val="12"/>
                    <w:szCs w:val="12"/>
                  </w:rPr>
                  <w:t>O</w:t>
                </w:r>
                <w:r w:rsidR="00945BF2" w:rsidRPr="00000194">
                  <w:rPr>
                    <w:rFonts w:ascii="Calibri" w:hAnsi="Calibri" w:cs="Calibri"/>
                    <w:caps/>
                    <w:color w:val="0093D6"/>
                    <w:sz w:val="12"/>
                    <w:szCs w:val="12"/>
                  </w:rPr>
                  <w:t>: 00536211, DIČ: CZ00536211.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A1" w:rsidRDefault="002636A1" w:rsidP="005F7548">
      <w:pPr>
        <w:spacing w:after="0" w:line="240" w:lineRule="auto"/>
      </w:pPr>
      <w:r>
        <w:separator/>
      </w:r>
    </w:p>
  </w:footnote>
  <w:footnote w:type="continuationSeparator" w:id="0">
    <w:p w:rsidR="002636A1" w:rsidRDefault="002636A1" w:rsidP="005F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42" w:rsidRDefault="00A00EEF">
    <w:pPr>
      <w:pStyle w:val="Zhlav"/>
    </w:pPr>
    <w:r>
      <w:rPr>
        <w:noProof/>
        <w:lang w:eastAsia="cs-CZ"/>
      </w:rPr>
      <w:pict>
        <v:shapetype id="_x0000_t202" coordsize="21600,21600" o:spt="202" path="m,l,21600r21600,l21600,xe">
          <v:stroke joinstyle="miter"/>
          <v:path gradientshapeok="t" o:connecttype="rect"/>
        </v:shapetype>
        <v:shape id="Textové pole 4" o:spid="_x0000_s2049" type="#_x0000_t202" style="position:absolute;margin-left:363.15pt;margin-top:96.65pt;width:119.35pt;height:37.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" fillcolor="white [3201]" stroked="f" strokeweight=".5pt">
          <v:textbox inset="0,,0">
            <w:txbxContent>
              <w:p w:rsidR="00820FF9" w:rsidRPr="001F08D4" w:rsidRDefault="001F08D4" w:rsidP="001F08D4">
                <w:pPr>
                  <w:pStyle w:val="Zkladnodstavec"/>
                  <w:rPr>
                    <w:rFonts w:ascii="Calibri" w:hAnsi="Calibri" w:cs="Calibri"/>
                    <w:caps/>
                    <w:color w:val="0093D6"/>
                    <w:sz w:val="18"/>
                    <w:szCs w:val="18"/>
                  </w:rPr>
                </w:pPr>
                <w:r>
                  <w:rPr>
                    <w:rFonts w:ascii="Calibri" w:hAnsi="Calibri" w:cs="Calibri"/>
                    <w:caps/>
                    <w:color w:val="0093D6"/>
                    <w:sz w:val="18"/>
                    <w:szCs w:val="18"/>
                  </w:rPr>
                  <w:t>V Praze dne 6</w:t>
                </w:r>
                <w:r w:rsidR="00AA09C1" w:rsidRPr="00000194">
                  <w:rPr>
                    <w:rFonts w:ascii="Calibri" w:hAnsi="Calibri" w:cs="Calibri"/>
                    <w:caps/>
                    <w:color w:val="0093D6"/>
                    <w:sz w:val="18"/>
                    <w:szCs w:val="18"/>
                  </w:rPr>
                  <w:t>.</w:t>
                </w:r>
                <w:r>
                  <w:rPr>
                    <w:rFonts w:ascii="Calibri" w:hAnsi="Calibri" w:cs="Calibri"/>
                    <w:caps/>
                    <w:color w:val="0093D6"/>
                    <w:sz w:val="18"/>
                    <w:szCs w:val="18"/>
                  </w:rPr>
                  <w:t xml:space="preserve"> září</w:t>
                </w:r>
                <w:r w:rsidR="00AA09C1" w:rsidRPr="00000194">
                  <w:rPr>
                    <w:rFonts w:ascii="Calibri" w:hAnsi="Calibri" w:cs="Calibri"/>
                    <w:caps/>
                    <w:color w:val="0093D6"/>
                    <w:sz w:val="18"/>
                    <w:szCs w:val="18"/>
                  </w:rPr>
                  <w:t xml:space="preserve"> 201</w:t>
                </w:r>
                <w:r w:rsidR="00000194" w:rsidRPr="00000194">
                  <w:rPr>
                    <w:rFonts w:ascii="Calibri" w:hAnsi="Calibri" w:cs="Calibri"/>
                    <w:caps/>
                    <w:color w:val="0093D6"/>
                    <w:sz w:val="18"/>
                    <w:szCs w:val="18"/>
                  </w:rPr>
                  <w:t>6</w:t>
                </w:r>
              </w:p>
            </w:txbxContent>
          </v:textbox>
        </v:shape>
      </w:pict>
    </w:r>
    <w:r w:rsidR="004B2742">
      <w:rPr>
        <w:noProof/>
        <w:lang w:eastAsia="cs-CZ"/>
      </w:rPr>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23544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4400" cy="72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9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B66DF"/>
    <w:multiLevelType w:val="hybridMultilevel"/>
    <w:tmpl w:val="859E88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B22389"/>
    <w:multiLevelType w:val="multilevel"/>
    <w:tmpl w:val="C19C166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E551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BF5A2A"/>
    <w:multiLevelType w:val="hybridMultilevel"/>
    <w:tmpl w:val="E4A412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BEE273E"/>
    <w:multiLevelType w:val="multilevel"/>
    <w:tmpl w:val="C19C166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C76971"/>
    <w:multiLevelType w:val="hybridMultilevel"/>
    <w:tmpl w:val="DA14AB92"/>
    <w:lvl w:ilvl="0" w:tplc="04050001">
      <w:start w:val="1"/>
      <w:numFmt w:val="bullet"/>
      <w:lvlText w:val=""/>
      <w:lvlJc w:val="left"/>
      <w:pPr>
        <w:ind w:left="1851" w:hanging="360"/>
      </w:pPr>
      <w:rPr>
        <w:rFonts w:ascii="Symbol" w:hAnsi="Symbol"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tentative="1">
      <w:start w:val="1"/>
      <w:numFmt w:val="bullet"/>
      <w:lvlText w:val="o"/>
      <w:lvlJc w:val="left"/>
      <w:pPr>
        <w:ind w:left="4731" w:hanging="360"/>
      </w:pPr>
      <w:rPr>
        <w:rFonts w:ascii="Courier New" w:hAnsi="Courier New" w:cs="Courier New" w:hint="default"/>
      </w:rPr>
    </w:lvl>
    <w:lvl w:ilvl="5" w:tplc="04050005" w:tentative="1">
      <w:start w:val="1"/>
      <w:numFmt w:val="bullet"/>
      <w:lvlText w:val=""/>
      <w:lvlJc w:val="left"/>
      <w:pPr>
        <w:ind w:left="5451" w:hanging="360"/>
      </w:pPr>
      <w:rPr>
        <w:rFonts w:ascii="Wingdings" w:hAnsi="Wingdings" w:hint="default"/>
      </w:rPr>
    </w:lvl>
    <w:lvl w:ilvl="6" w:tplc="04050001" w:tentative="1">
      <w:start w:val="1"/>
      <w:numFmt w:val="bullet"/>
      <w:lvlText w:val=""/>
      <w:lvlJc w:val="left"/>
      <w:pPr>
        <w:ind w:left="6171" w:hanging="360"/>
      </w:pPr>
      <w:rPr>
        <w:rFonts w:ascii="Symbol" w:hAnsi="Symbol" w:hint="default"/>
      </w:rPr>
    </w:lvl>
    <w:lvl w:ilvl="7" w:tplc="04050003" w:tentative="1">
      <w:start w:val="1"/>
      <w:numFmt w:val="bullet"/>
      <w:lvlText w:val="o"/>
      <w:lvlJc w:val="left"/>
      <w:pPr>
        <w:ind w:left="6891" w:hanging="360"/>
      </w:pPr>
      <w:rPr>
        <w:rFonts w:ascii="Courier New" w:hAnsi="Courier New" w:cs="Courier New" w:hint="default"/>
      </w:rPr>
    </w:lvl>
    <w:lvl w:ilvl="8" w:tplc="04050005" w:tentative="1">
      <w:start w:val="1"/>
      <w:numFmt w:val="bullet"/>
      <w:lvlText w:val=""/>
      <w:lvlJc w:val="left"/>
      <w:pPr>
        <w:ind w:left="7611" w:hanging="360"/>
      </w:pPr>
      <w:rPr>
        <w:rFonts w:ascii="Wingdings" w:hAnsi="Wingdings" w:hint="default"/>
      </w:rPr>
    </w:lvl>
  </w:abstractNum>
  <w:abstractNum w:abstractNumId="7">
    <w:nsid w:val="5858024B"/>
    <w:multiLevelType w:val="hybridMultilevel"/>
    <w:tmpl w:val="D8305E72"/>
    <w:lvl w:ilvl="0" w:tplc="CC766338">
      <w:start w:val="2"/>
      <w:numFmt w:val="bullet"/>
      <w:lvlText w:val="-"/>
      <w:lvlJc w:val="left"/>
      <w:pPr>
        <w:ind w:left="720" w:hanging="360"/>
      </w:pPr>
      <w:rPr>
        <w:rFonts w:ascii="Calibri" w:eastAsia="Calibri"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D665C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9A2F25"/>
    <w:multiLevelType w:val="hybridMultilevel"/>
    <w:tmpl w:val="9C260B4A"/>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0D9315B"/>
    <w:multiLevelType w:val="hybridMultilevel"/>
    <w:tmpl w:val="10B8A8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67E057C9"/>
    <w:multiLevelType w:val="multilevel"/>
    <w:tmpl w:val="F6B63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D952F76"/>
    <w:multiLevelType w:val="hybridMultilevel"/>
    <w:tmpl w:val="7912226A"/>
    <w:lvl w:ilvl="0" w:tplc="04050011">
      <w:start w:val="1"/>
      <w:numFmt w:val="decimal"/>
      <w:lvlText w:val="%1)"/>
      <w:lvlJc w:val="left"/>
      <w:pPr>
        <w:ind w:left="720" w:hanging="360"/>
      </w:pPr>
      <w:rPr>
        <w:rFonts w:hint="default"/>
      </w:rPr>
    </w:lvl>
    <w:lvl w:ilvl="1" w:tplc="B802BBE4">
      <w:start w:val="1"/>
      <w:numFmt w:val="bullet"/>
      <w:lvlText w:val=""/>
      <w:lvlJc w:val="left"/>
      <w:pPr>
        <w:ind w:left="1440" w:hanging="360"/>
      </w:pPr>
      <w:rPr>
        <w:rFonts w:ascii="Symbol" w:hAnsi="Symbol" w:hint="default"/>
        <w:b w:val="0"/>
        <w:sz w:val="22"/>
        <w:szCs w:val="22"/>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2F0F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B11C25"/>
    <w:multiLevelType w:val="hybridMultilevel"/>
    <w:tmpl w:val="EB4C52F8"/>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7C4123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1"/>
  </w:num>
  <w:num w:numId="4">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0"/>
  </w:num>
  <w:num w:numId="9">
    <w:abstractNumId w:val="2"/>
  </w:num>
  <w:num w:numId="10">
    <w:abstractNumId w:val="11"/>
  </w:num>
  <w:num w:numId="11">
    <w:abstractNumId w:val="15"/>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F7548"/>
    <w:rsid w:val="00000194"/>
    <w:rsid w:val="000776E8"/>
    <w:rsid w:val="000E7C8E"/>
    <w:rsid w:val="000F1AC3"/>
    <w:rsid w:val="00100362"/>
    <w:rsid w:val="001238D2"/>
    <w:rsid w:val="001367E1"/>
    <w:rsid w:val="001758E8"/>
    <w:rsid w:val="00197A78"/>
    <w:rsid w:val="001F08D4"/>
    <w:rsid w:val="002203F3"/>
    <w:rsid w:val="00243C2F"/>
    <w:rsid w:val="002636A1"/>
    <w:rsid w:val="00271392"/>
    <w:rsid w:val="002813A4"/>
    <w:rsid w:val="002A0353"/>
    <w:rsid w:val="002C549C"/>
    <w:rsid w:val="00315C9B"/>
    <w:rsid w:val="00344717"/>
    <w:rsid w:val="00346A4F"/>
    <w:rsid w:val="00394441"/>
    <w:rsid w:val="003E3FCC"/>
    <w:rsid w:val="004B2742"/>
    <w:rsid w:val="004B33DA"/>
    <w:rsid w:val="004E6BEE"/>
    <w:rsid w:val="00532442"/>
    <w:rsid w:val="00544087"/>
    <w:rsid w:val="00575128"/>
    <w:rsid w:val="00595D7D"/>
    <w:rsid w:val="005A2C97"/>
    <w:rsid w:val="005B1031"/>
    <w:rsid w:val="005D33AF"/>
    <w:rsid w:val="005F7548"/>
    <w:rsid w:val="00600DBE"/>
    <w:rsid w:val="006524E4"/>
    <w:rsid w:val="006524E7"/>
    <w:rsid w:val="006D4C13"/>
    <w:rsid w:val="00772F57"/>
    <w:rsid w:val="00785033"/>
    <w:rsid w:val="007F650E"/>
    <w:rsid w:val="00820FF9"/>
    <w:rsid w:val="008722D3"/>
    <w:rsid w:val="00895C9A"/>
    <w:rsid w:val="00897EAD"/>
    <w:rsid w:val="008C5F51"/>
    <w:rsid w:val="008D499F"/>
    <w:rsid w:val="008D7289"/>
    <w:rsid w:val="008E72FE"/>
    <w:rsid w:val="00907710"/>
    <w:rsid w:val="00910908"/>
    <w:rsid w:val="00914FC8"/>
    <w:rsid w:val="00941255"/>
    <w:rsid w:val="00945BF2"/>
    <w:rsid w:val="00970A49"/>
    <w:rsid w:val="00976D55"/>
    <w:rsid w:val="009A5437"/>
    <w:rsid w:val="009C62B4"/>
    <w:rsid w:val="009E2159"/>
    <w:rsid w:val="00A0083D"/>
    <w:rsid w:val="00A00EEF"/>
    <w:rsid w:val="00A73EF6"/>
    <w:rsid w:val="00A95384"/>
    <w:rsid w:val="00AA09C1"/>
    <w:rsid w:val="00AD0B3E"/>
    <w:rsid w:val="00AD5B76"/>
    <w:rsid w:val="00AE321B"/>
    <w:rsid w:val="00B27BDE"/>
    <w:rsid w:val="00B5452C"/>
    <w:rsid w:val="00B81A96"/>
    <w:rsid w:val="00B8554B"/>
    <w:rsid w:val="00BF2FC8"/>
    <w:rsid w:val="00C200B8"/>
    <w:rsid w:val="00C220B7"/>
    <w:rsid w:val="00C535D2"/>
    <w:rsid w:val="00C57C84"/>
    <w:rsid w:val="00CA3691"/>
    <w:rsid w:val="00CB6D24"/>
    <w:rsid w:val="00CE2233"/>
    <w:rsid w:val="00CF592F"/>
    <w:rsid w:val="00D1604B"/>
    <w:rsid w:val="00D26275"/>
    <w:rsid w:val="00D3057A"/>
    <w:rsid w:val="00D42468"/>
    <w:rsid w:val="00D80551"/>
    <w:rsid w:val="00DE443C"/>
    <w:rsid w:val="00E63E9C"/>
    <w:rsid w:val="00E65D36"/>
    <w:rsid w:val="00E65D7C"/>
    <w:rsid w:val="00EC6405"/>
    <w:rsid w:val="00ED779C"/>
    <w:rsid w:val="00EF11AC"/>
    <w:rsid w:val="00F21AB3"/>
    <w:rsid w:val="00F225CE"/>
    <w:rsid w:val="00FA7D9C"/>
    <w:rsid w:val="00FC05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A7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basedOn w:val="Normln"/>
    <w:link w:val="OdstavecseseznamemChar"/>
    <w:uiPriority w:val="34"/>
    <w:qFormat/>
    <w:rsid w:val="00D26275"/>
    <w:pPr>
      <w:ind w:left="720"/>
      <w:contextualSpacing/>
    </w:pPr>
  </w:style>
  <w:style w:type="character" w:customStyle="1" w:styleId="OdstavecseseznamemChar">
    <w:name w:val="Odstavec se seznamem Char"/>
    <w:link w:val="Odstavecseseznamem"/>
    <w:uiPriority w:val="34"/>
    <w:locked/>
    <w:rsid w:val="00A0083D"/>
  </w:style>
  <w:style w:type="character" w:styleId="Hypertextovodkaz">
    <w:name w:val="Hyperlink"/>
    <w:basedOn w:val="Standardnpsmoodstavce"/>
    <w:uiPriority w:val="99"/>
    <w:unhideWhenUsed/>
    <w:rsid w:val="00A0083D"/>
    <w:rPr>
      <w:color w:val="0000FF" w:themeColor="hyperlink"/>
      <w:u w:val="single"/>
    </w:rPr>
  </w:style>
  <w:style w:type="character" w:customStyle="1" w:styleId="xsptextcomputedfield">
    <w:name w:val="xsptextcomputedfield"/>
    <w:basedOn w:val="Standardnpsmoodstavce"/>
    <w:rsid w:val="002203F3"/>
  </w:style>
  <w:style w:type="paragraph" w:styleId="Bezmezer">
    <w:name w:val="No Spacing"/>
    <w:basedOn w:val="Normln"/>
    <w:uiPriority w:val="1"/>
    <w:qFormat/>
    <w:rsid w:val="00910908"/>
    <w:pPr>
      <w:spacing w:after="0" w:line="240" w:lineRule="auto"/>
    </w:pPr>
    <w:rPr>
      <w:rFonts w:ascii="Calibri" w:hAnsi="Calibri" w:cs="Times New Roman"/>
      <w:lang w:eastAsia="cs-CZ"/>
    </w:rPr>
  </w:style>
  <w:style w:type="paragraph" w:styleId="Prosttext">
    <w:name w:val="Plain Text"/>
    <w:basedOn w:val="Normln"/>
    <w:link w:val="ProsttextChar"/>
    <w:uiPriority w:val="99"/>
    <w:semiHidden/>
    <w:unhideWhenUsed/>
    <w:rsid w:val="009A5437"/>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A543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653496">
      <w:bodyDiv w:val="1"/>
      <w:marLeft w:val="0"/>
      <w:marRight w:val="0"/>
      <w:marTop w:val="0"/>
      <w:marBottom w:val="0"/>
      <w:divBdr>
        <w:top w:val="none" w:sz="0" w:space="0" w:color="auto"/>
        <w:left w:val="none" w:sz="0" w:space="0" w:color="auto"/>
        <w:bottom w:val="none" w:sz="0" w:space="0" w:color="auto"/>
        <w:right w:val="none" w:sz="0" w:space="0" w:color="auto"/>
      </w:divBdr>
    </w:div>
    <w:div w:id="194662191">
      <w:bodyDiv w:val="1"/>
      <w:marLeft w:val="0"/>
      <w:marRight w:val="0"/>
      <w:marTop w:val="0"/>
      <w:marBottom w:val="0"/>
      <w:divBdr>
        <w:top w:val="none" w:sz="0" w:space="0" w:color="auto"/>
        <w:left w:val="none" w:sz="0" w:space="0" w:color="auto"/>
        <w:bottom w:val="none" w:sz="0" w:space="0" w:color="auto"/>
        <w:right w:val="none" w:sz="0" w:space="0" w:color="auto"/>
      </w:divBdr>
    </w:div>
    <w:div w:id="403332649">
      <w:bodyDiv w:val="1"/>
      <w:marLeft w:val="0"/>
      <w:marRight w:val="0"/>
      <w:marTop w:val="0"/>
      <w:marBottom w:val="0"/>
      <w:divBdr>
        <w:top w:val="none" w:sz="0" w:space="0" w:color="auto"/>
        <w:left w:val="none" w:sz="0" w:space="0" w:color="auto"/>
        <w:bottom w:val="none" w:sz="0" w:space="0" w:color="auto"/>
        <w:right w:val="none" w:sz="0" w:space="0" w:color="auto"/>
      </w:divBdr>
    </w:div>
    <w:div w:id="458376676">
      <w:bodyDiv w:val="1"/>
      <w:marLeft w:val="0"/>
      <w:marRight w:val="0"/>
      <w:marTop w:val="0"/>
      <w:marBottom w:val="0"/>
      <w:divBdr>
        <w:top w:val="none" w:sz="0" w:space="0" w:color="auto"/>
        <w:left w:val="none" w:sz="0" w:space="0" w:color="auto"/>
        <w:bottom w:val="none" w:sz="0" w:space="0" w:color="auto"/>
        <w:right w:val="none" w:sz="0" w:space="0" w:color="auto"/>
      </w:divBdr>
    </w:div>
    <w:div w:id="742607332">
      <w:bodyDiv w:val="1"/>
      <w:marLeft w:val="0"/>
      <w:marRight w:val="0"/>
      <w:marTop w:val="0"/>
      <w:marBottom w:val="0"/>
      <w:divBdr>
        <w:top w:val="none" w:sz="0" w:space="0" w:color="auto"/>
        <w:left w:val="none" w:sz="0" w:space="0" w:color="auto"/>
        <w:bottom w:val="none" w:sz="0" w:space="0" w:color="auto"/>
        <w:right w:val="none" w:sz="0" w:space="0" w:color="auto"/>
      </w:divBdr>
    </w:div>
    <w:div w:id="1455520777">
      <w:bodyDiv w:val="1"/>
      <w:marLeft w:val="0"/>
      <w:marRight w:val="0"/>
      <w:marTop w:val="0"/>
      <w:marBottom w:val="0"/>
      <w:divBdr>
        <w:top w:val="none" w:sz="0" w:space="0" w:color="auto"/>
        <w:left w:val="none" w:sz="0" w:space="0" w:color="auto"/>
        <w:bottom w:val="none" w:sz="0" w:space="0" w:color="auto"/>
        <w:right w:val="none" w:sz="0" w:space="0" w:color="auto"/>
      </w:divBdr>
    </w:div>
    <w:div w:id="1469979615">
      <w:bodyDiv w:val="1"/>
      <w:marLeft w:val="0"/>
      <w:marRight w:val="0"/>
      <w:marTop w:val="0"/>
      <w:marBottom w:val="0"/>
      <w:divBdr>
        <w:top w:val="none" w:sz="0" w:space="0" w:color="auto"/>
        <w:left w:val="none" w:sz="0" w:space="0" w:color="auto"/>
        <w:bottom w:val="none" w:sz="0" w:space="0" w:color="auto"/>
        <w:right w:val="none" w:sz="0" w:space="0" w:color="auto"/>
      </w:divBdr>
    </w:div>
    <w:div w:id="1625428829">
      <w:bodyDiv w:val="1"/>
      <w:marLeft w:val="0"/>
      <w:marRight w:val="0"/>
      <w:marTop w:val="0"/>
      <w:marBottom w:val="0"/>
      <w:divBdr>
        <w:top w:val="none" w:sz="0" w:space="0" w:color="auto"/>
        <w:left w:val="none" w:sz="0" w:space="0" w:color="auto"/>
        <w:bottom w:val="none" w:sz="0" w:space="0" w:color="auto"/>
        <w:right w:val="none" w:sz="0" w:space="0" w:color="auto"/>
      </w:divBdr>
    </w:div>
    <w:div w:id="1760981949">
      <w:bodyDiv w:val="1"/>
      <w:marLeft w:val="0"/>
      <w:marRight w:val="0"/>
      <w:marTop w:val="0"/>
      <w:marBottom w:val="0"/>
      <w:divBdr>
        <w:top w:val="none" w:sz="0" w:space="0" w:color="auto"/>
        <w:left w:val="none" w:sz="0" w:space="0" w:color="auto"/>
        <w:bottom w:val="none" w:sz="0" w:space="0" w:color="auto"/>
        <w:right w:val="none" w:sz="0" w:space="0" w:color="auto"/>
      </w:divBdr>
    </w:div>
    <w:div w:id="20516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r.cz/aktivity/z-hospodarske-politiky/9969-pripominky-k-zakladnim-parametrum-navrhu-statniho-rozpoctu-cr-na-rok-2017"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CDF8-245B-490E-B4DF-654496C8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1981</Words>
  <Characters>11691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vfrance</cp:lastModifiedBy>
  <cp:revision>3</cp:revision>
  <dcterms:created xsi:type="dcterms:W3CDTF">2016-09-06T11:45:00Z</dcterms:created>
  <dcterms:modified xsi:type="dcterms:W3CDTF">2016-09-07T08:00:00Z</dcterms:modified>
</cp:coreProperties>
</file>