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4F" w:rsidRPr="00F93FDD" w:rsidRDefault="00E9164F" w:rsidP="00E9164F">
      <w:pPr>
        <w:rPr>
          <w:rFonts w:ascii="Calibri" w:hAnsi="Calibri"/>
          <w:b/>
          <w:sz w:val="28"/>
          <w:szCs w:val="28"/>
        </w:rPr>
      </w:pPr>
      <w:r w:rsidRPr="00F93FDD">
        <w:rPr>
          <w:rFonts w:ascii="Calibri" w:hAnsi="Calibri"/>
          <w:b/>
          <w:sz w:val="28"/>
          <w:szCs w:val="28"/>
        </w:rPr>
        <w:t xml:space="preserve">Stanovisko k  </w:t>
      </w:r>
      <w:r w:rsidR="002C316A" w:rsidRPr="00F93FDD">
        <w:rPr>
          <w:rFonts w:ascii="Calibri" w:hAnsi="Calibri"/>
          <w:b/>
          <w:sz w:val="28"/>
          <w:szCs w:val="28"/>
        </w:rPr>
        <w:t>Návrhu zákona, kterým se mění zákonné opatření Senátu č. 340/2013 Sb., o dani z nabytí nemovitých věcí</w:t>
      </w:r>
    </w:p>
    <w:p w:rsidR="00E9164F" w:rsidRPr="00F93FDD" w:rsidRDefault="00E9164F" w:rsidP="00E9164F">
      <w:pPr>
        <w:rPr>
          <w:rFonts w:ascii="Calibri" w:hAnsi="Calibri"/>
          <w:b/>
          <w:sz w:val="28"/>
          <w:szCs w:val="28"/>
        </w:rPr>
      </w:pPr>
    </w:p>
    <w:p w:rsidR="00010ACB" w:rsidRPr="00F93FDD" w:rsidRDefault="00010ACB" w:rsidP="00E9164F">
      <w:pPr>
        <w:rPr>
          <w:rFonts w:ascii="Calibri" w:hAnsi="Calibri"/>
          <w:b/>
          <w:sz w:val="24"/>
          <w:szCs w:val="24"/>
        </w:rPr>
      </w:pPr>
      <w:r w:rsidRPr="00F93FDD">
        <w:rPr>
          <w:rFonts w:ascii="Calibri" w:hAnsi="Calibri"/>
          <w:b/>
          <w:sz w:val="24"/>
          <w:szCs w:val="24"/>
        </w:rPr>
        <w:t>Obecné stanovisko a p</w:t>
      </w:r>
      <w:r w:rsidR="00235B2D">
        <w:rPr>
          <w:rFonts w:ascii="Calibri" w:hAnsi="Calibri"/>
          <w:b/>
          <w:sz w:val="24"/>
          <w:szCs w:val="24"/>
        </w:rPr>
        <w:t>ozitivní body novely</w:t>
      </w:r>
    </w:p>
    <w:p w:rsidR="002C316A" w:rsidRPr="00F93FDD" w:rsidRDefault="002C316A" w:rsidP="00E9164F">
      <w:pPr>
        <w:rPr>
          <w:rFonts w:ascii="Calibri" w:hAnsi="Calibri"/>
          <w:b/>
          <w:sz w:val="24"/>
          <w:szCs w:val="24"/>
        </w:rPr>
      </w:pPr>
      <w:r w:rsidRPr="00F93FDD">
        <w:rPr>
          <w:rFonts w:ascii="Calibri" w:hAnsi="Calibri"/>
          <w:sz w:val="24"/>
          <w:szCs w:val="24"/>
        </w:rPr>
        <w:t>SP ČR pozitivně vnímá odstranění řady nejasností</w:t>
      </w:r>
      <w:r w:rsidR="002F08AC" w:rsidRPr="00F93FDD">
        <w:rPr>
          <w:rFonts w:ascii="Calibri" w:hAnsi="Calibri"/>
          <w:sz w:val="24"/>
          <w:szCs w:val="24"/>
        </w:rPr>
        <w:t>, které v praxi působily problémy, navíc často ve vztahu ke změnám v oblasti soukromého práva</w:t>
      </w:r>
      <w:r w:rsidRPr="00F93FDD">
        <w:rPr>
          <w:rFonts w:ascii="Calibri" w:hAnsi="Calibri"/>
          <w:b/>
          <w:sz w:val="24"/>
          <w:szCs w:val="24"/>
        </w:rPr>
        <w:t>. Vítáme a jako pozitivní vidíme například:</w:t>
      </w:r>
    </w:p>
    <w:p w:rsidR="002C316A" w:rsidRPr="001E5812" w:rsidRDefault="002C316A" w:rsidP="002C316A">
      <w:pPr>
        <w:pStyle w:val="Odstavecseseznamem"/>
        <w:numPr>
          <w:ilvl w:val="0"/>
          <w:numId w:val="17"/>
        </w:numPr>
        <w:rPr>
          <w:rFonts w:ascii="Calibri" w:hAnsi="Calibri"/>
          <w:sz w:val="24"/>
          <w:szCs w:val="24"/>
        </w:rPr>
      </w:pPr>
      <w:r w:rsidRPr="001E5812">
        <w:rPr>
          <w:rFonts w:ascii="Calibri" w:hAnsi="Calibri"/>
          <w:sz w:val="24"/>
          <w:szCs w:val="24"/>
        </w:rPr>
        <w:t>úpravu §</w:t>
      </w:r>
      <w:r w:rsidR="00D52031" w:rsidRPr="001E5812">
        <w:rPr>
          <w:rFonts w:ascii="Calibri" w:hAnsi="Calibri"/>
          <w:sz w:val="24"/>
          <w:szCs w:val="24"/>
        </w:rPr>
        <w:t xml:space="preserve"> </w:t>
      </w:r>
      <w:r w:rsidRPr="001E5812">
        <w:rPr>
          <w:rFonts w:ascii="Calibri" w:hAnsi="Calibri"/>
          <w:sz w:val="24"/>
          <w:szCs w:val="24"/>
        </w:rPr>
        <w:t>1, která zcela jasně a přímo určuje poplatníka (nabyvatel) a která odstraňuje dosavadní nepřehlednost a zmatečnost danou možností volby</w:t>
      </w:r>
    </w:p>
    <w:p w:rsidR="002C316A" w:rsidRPr="00F93FDD" w:rsidRDefault="002C316A" w:rsidP="002C316A">
      <w:pPr>
        <w:pStyle w:val="Odstavecseseznamem"/>
        <w:numPr>
          <w:ilvl w:val="0"/>
          <w:numId w:val="17"/>
        </w:numPr>
        <w:rPr>
          <w:rFonts w:ascii="Calibri" w:hAnsi="Calibri"/>
          <w:sz w:val="24"/>
          <w:szCs w:val="24"/>
        </w:rPr>
      </w:pPr>
      <w:r w:rsidRPr="00F93FDD">
        <w:rPr>
          <w:rFonts w:ascii="Calibri" w:hAnsi="Calibri"/>
          <w:sz w:val="24"/>
          <w:szCs w:val="24"/>
        </w:rPr>
        <w:t xml:space="preserve">zjednodušení </w:t>
      </w:r>
      <w:r w:rsidR="002F08AC" w:rsidRPr="00F93FDD">
        <w:rPr>
          <w:rFonts w:ascii="Calibri" w:hAnsi="Calibri"/>
          <w:sz w:val="24"/>
          <w:szCs w:val="24"/>
        </w:rPr>
        <w:t>určení základu daně při směně nemovitých věcí, kdy dle návrhu nebude potřeba určovat cenu pozbývané věci, ale určení sjednané ceny bude vycházet pouze z případného doplatku, čímž budou odstraněny problémy s výpočtem daně</w:t>
      </w:r>
      <w:r w:rsidR="00D52031">
        <w:rPr>
          <w:rFonts w:ascii="Calibri" w:hAnsi="Calibri"/>
          <w:sz w:val="24"/>
          <w:szCs w:val="24"/>
        </w:rPr>
        <w:t xml:space="preserve"> (§ 13., odst. 2)</w:t>
      </w:r>
    </w:p>
    <w:p w:rsidR="002F08AC" w:rsidRPr="00F93FDD" w:rsidRDefault="002F08AC" w:rsidP="002C316A">
      <w:pPr>
        <w:pStyle w:val="Odstavecseseznamem"/>
        <w:numPr>
          <w:ilvl w:val="0"/>
          <w:numId w:val="17"/>
        </w:numPr>
        <w:rPr>
          <w:rFonts w:ascii="Calibri" w:hAnsi="Calibri"/>
          <w:sz w:val="24"/>
          <w:szCs w:val="24"/>
        </w:rPr>
      </w:pPr>
      <w:r w:rsidRPr="00F93FDD">
        <w:rPr>
          <w:rFonts w:ascii="Calibri" w:hAnsi="Calibri"/>
          <w:sz w:val="24"/>
          <w:szCs w:val="24"/>
        </w:rPr>
        <w:t>rozšíření použití směrné hodnoty u pozemků s určitými drobnými stavbami a porosty, která sníží potřebu využití znaleckých posudků</w:t>
      </w:r>
      <w:r w:rsidR="00D52031">
        <w:rPr>
          <w:rFonts w:ascii="Calibri" w:hAnsi="Calibri"/>
          <w:sz w:val="24"/>
          <w:szCs w:val="24"/>
        </w:rPr>
        <w:t xml:space="preserve"> (§ 15, od</w:t>
      </w:r>
      <w:r w:rsidR="00235B2D">
        <w:rPr>
          <w:rFonts w:ascii="Calibri" w:hAnsi="Calibri"/>
          <w:sz w:val="24"/>
          <w:szCs w:val="24"/>
        </w:rPr>
        <w:t>st</w:t>
      </w:r>
      <w:r w:rsidR="00D52031">
        <w:rPr>
          <w:rFonts w:ascii="Calibri" w:hAnsi="Calibri"/>
          <w:sz w:val="24"/>
          <w:szCs w:val="24"/>
        </w:rPr>
        <w:t>. 3, písm. e)</w:t>
      </w:r>
    </w:p>
    <w:p w:rsidR="002C316A" w:rsidRPr="00235B2D" w:rsidRDefault="002C316A" w:rsidP="00E9164F">
      <w:pPr>
        <w:rPr>
          <w:rFonts w:ascii="Calibri" w:hAnsi="Calibri"/>
          <w:sz w:val="12"/>
          <w:szCs w:val="12"/>
        </w:rPr>
      </w:pPr>
    </w:p>
    <w:p w:rsidR="00E9164F" w:rsidRPr="00F93FDD" w:rsidRDefault="00010ACB" w:rsidP="00E9164F">
      <w:pPr>
        <w:rPr>
          <w:rFonts w:ascii="Calibri" w:hAnsi="Calibri"/>
          <w:b/>
          <w:sz w:val="24"/>
          <w:szCs w:val="24"/>
        </w:rPr>
      </w:pPr>
      <w:r w:rsidRPr="00F93FDD">
        <w:rPr>
          <w:rFonts w:ascii="Calibri" w:hAnsi="Calibri"/>
          <w:b/>
          <w:sz w:val="24"/>
          <w:szCs w:val="24"/>
        </w:rPr>
        <w:t>Zásadní připomínky k novele</w:t>
      </w:r>
    </w:p>
    <w:p w:rsidR="00F93FDD" w:rsidRPr="00F93FDD" w:rsidRDefault="00F93FDD" w:rsidP="00235B2D">
      <w:pPr>
        <w:pStyle w:val="Novelizanbod"/>
        <w:keepNext w:val="0"/>
        <w:keepLines w:val="0"/>
        <w:numPr>
          <w:ilvl w:val="0"/>
          <w:numId w:val="24"/>
        </w:numPr>
        <w:spacing w:before="240"/>
        <w:ind w:left="357" w:hanging="357"/>
        <w:rPr>
          <w:rFonts w:ascii="Calibri" w:hAnsi="Calibri"/>
          <w:b/>
          <w:u w:val="single"/>
        </w:rPr>
      </w:pPr>
      <w:r w:rsidRPr="00F93FDD">
        <w:rPr>
          <w:rFonts w:ascii="Calibri" w:hAnsi="Calibri"/>
          <w:b/>
          <w:u w:val="single"/>
        </w:rPr>
        <w:t xml:space="preserve">§ 2, odstavec 4: Požadujeme upravit znění dle následujícího doporučení/návrhu: </w:t>
      </w:r>
    </w:p>
    <w:p w:rsidR="00F93FDD" w:rsidRDefault="00F93FDD" w:rsidP="00F93FDD">
      <w:pPr>
        <w:pStyle w:val="Textodstavce"/>
        <w:numPr>
          <w:ilvl w:val="0"/>
          <w:numId w:val="0"/>
        </w:numPr>
        <w:rPr>
          <w:rFonts w:ascii="Calibri" w:hAnsi="Calibri"/>
          <w:i/>
        </w:rPr>
      </w:pPr>
      <w:r w:rsidRPr="00F93FDD">
        <w:rPr>
          <w:rFonts w:ascii="Calibri" w:hAnsi="Calibri"/>
          <w:i/>
        </w:rPr>
        <w:t xml:space="preserve">„(4) Stavba, která je částí inženýrské sítě </w:t>
      </w:r>
      <w:r w:rsidRPr="00F93FDD">
        <w:rPr>
          <w:rFonts w:ascii="Calibri" w:hAnsi="Calibri"/>
          <w:b/>
          <w:i/>
        </w:rPr>
        <w:t>a je předmětem evidence v katastru nemovitostí</w:t>
      </w:r>
      <w:r w:rsidRPr="00F93FDD">
        <w:rPr>
          <w:rFonts w:ascii="Calibri" w:hAnsi="Calibri"/>
          <w:i/>
        </w:rPr>
        <w:t>, se pro účely daně z nabytí nemovitých věcí považuje za nemovitou věc.“.</w:t>
      </w:r>
    </w:p>
    <w:p w:rsidR="00F93FDD" w:rsidRPr="00235B2D" w:rsidRDefault="00F93FDD" w:rsidP="00F93FDD">
      <w:pPr>
        <w:pStyle w:val="Textodstavce"/>
        <w:numPr>
          <w:ilvl w:val="0"/>
          <w:numId w:val="0"/>
        </w:numPr>
        <w:rPr>
          <w:rFonts w:ascii="Calibri" w:hAnsi="Calibri"/>
          <w:i/>
          <w:sz w:val="6"/>
          <w:szCs w:val="6"/>
        </w:rPr>
      </w:pPr>
    </w:p>
    <w:p w:rsidR="00F93FDD" w:rsidRPr="00F93FDD" w:rsidRDefault="00F93FDD" w:rsidP="00F93FDD">
      <w:pPr>
        <w:pStyle w:val="Textodstavce"/>
        <w:numPr>
          <w:ilvl w:val="0"/>
          <w:numId w:val="0"/>
        </w:numPr>
        <w:rPr>
          <w:rFonts w:ascii="Calibri" w:hAnsi="Calibri"/>
          <w:u w:val="single"/>
        </w:rPr>
      </w:pPr>
      <w:r w:rsidRPr="00F93FDD">
        <w:rPr>
          <w:rFonts w:ascii="Calibri" w:hAnsi="Calibri"/>
          <w:u w:val="single"/>
        </w:rPr>
        <w:t>Odůvodnění:</w:t>
      </w:r>
    </w:p>
    <w:p w:rsidR="00F93FDD" w:rsidRPr="00F93FDD" w:rsidRDefault="00F93FDD" w:rsidP="00F93FDD">
      <w:pPr>
        <w:pStyle w:val="Textodstavce"/>
        <w:numPr>
          <w:ilvl w:val="0"/>
          <w:numId w:val="0"/>
        </w:numPr>
        <w:rPr>
          <w:rFonts w:ascii="Calibri" w:hAnsi="Calibri"/>
        </w:rPr>
      </w:pPr>
      <w:r>
        <w:rPr>
          <w:rFonts w:ascii="Calibri" w:hAnsi="Calibri"/>
        </w:rPr>
        <w:t>Z</w:t>
      </w:r>
      <w:r w:rsidRPr="00F93FDD">
        <w:rPr>
          <w:rFonts w:ascii="Calibri" w:hAnsi="Calibri"/>
        </w:rPr>
        <w:t>nění v</w:t>
      </w:r>
      <w:r>
        <w:rPr>
          <w:rFonts w:ascii="Calibri" w:hAnsi="Calibri"/>
        </w:rPr>
        <w:t xml:space="preserve"> návrhu předkladatele </w:t>
      </w:r>
      <w:r w:rsidRPr="00F93FDD">
        <w:rPr>
          <w:rFonts w:ascii="Calibri" w:hAnsi="Calibri"/>
        </w:rPr>
        <w:t xml:space="preserve">nepostihuje jednoznačně všechny části inženýrské sítě, které by předmětnému zákonnému opatření podléhaly. </w:t>
      </w:r>
      <w:r>
        <w:rPr>
          <w:rFonts w:ascii="Calibri" w:hAnsi="Calibri"/>
        </w:rPr>
        <w:t>Dané znění</w:t>
      </w:r>
      <w:r w:rsidRPr="00F93FDD">
        <w:rPr>
          <w:rFonts w:ascii="Calibri" w:hAnsi="Calibri"/>
        </w:rPr>
        <w:t xml:space="preserve"> nedává návod, jak chápat pojem stavba, zda je spojen s definicí ze stavebního zákona či katastrálního zákona, či naopak vycházet z předpisů soukromého práva. A proto takto formulovaná právní fikce nepřináší jednoznačnou právní jistotu pro daňové poplatníky. Dále nejsou systémově řešeny všechny inženýrské sítě, které pak následně budou ztěžovat kontrolu povinného odvodu uvedené daně ze strany finančních úřadů. Neexistuje registr inženýrských sítí. Nejsou zde postižené ty části inženýrských sítí, které jsou v režimu utajení. </w:t>
      </w:r>
    </w:p>
    <w:p w:rsidR="00F93FDD" w:rsidRPr="00F93FDD" w:rsidRDefault="00F93FDD" w:rsidP="00F93FDD">
      <w:pPr>
        <w:pStyle w:val="Textodstavce"/>
        <w:numPr>
          <w:ilvl w:val="0"/>
          <w:numId w:val="0"/>
        </w:numPr>
        <w:rPr>
          <w:rFonts w:ascii="Calibri" w:hAnsi="Calibri"/>
        </w:rPr>
      </w:pPr>
      <w:r>
        <w:rPr>
          <w:rFonts w:ascii="Calibri" w:hAnsi="Calibri"/>
        </w:rPr>
        <w:t>Domníváme se, že námi předložený</w:t>
      </w:r>
      <w:r w:rsidRPr="00F93FDD">
        <w:rPr>
          <w:rFonts w:ascii="Calibri" w:hAnsi="Calibri"/>
        </w:rPr>
        <w:t xml:space="preserve"> návrh</w:t>
      </w:r>
      <w:r>
        <w:rPr>
          <w:rFonts w:ascii="Calibri" w:hAnsi="Calibri"/>
        </w:rPr>
        <w:t>/doporučení</w:t>
      </w:r>
      <w:r w:rsidRPr="00F93FDD">
        <w:rPr>
          <w:rFonts w:ascii="Calibri" w:hAnsi="Calibri"/>
        </w:rPr>
        <w:t xml:space="preserve"> upravuje dané znění tak, že jednoznačně určuje, které části inženýrských sítí budou podléhat dani z nabytí nemovité věci, resp. které stavby jsou danou daní postiženy. Tato formulace je jednoznačná, transparentní, jak pro poplatníky této daně, tak pro kontrolní orgány. Které stavby jsou předmětem evidence v katastru nemovitostí, definuje zákon č. 256/2013 Sb., o katastru nemovitostí (katastrální zákon) v ustanovení § 3 odst. 1. Převody vlastnictví k těmto stavbám jsou zde zapisovány, dané údaje jsou veřejně dostupné, včetně smluv, na základě kterých k těmto změnám došlo. Touto úpravou by se snížily náklady státu na výběr této </w:t>
      </w:r>
      <w:r w:rsidRPr="00F93FDD">
        <w:rPr>
          <w:rFonts w:ascii="Calibri" w:hAnsi="Calibri"/>
        </w:rPr>
        <w:lastRenderedPageBreak/>
        <w:t xml:space="preserve">daně spočívající ve složitém vyhledávání těchto skutečností a nejasnému výkladu pojmu předmětu daně. </w:t>
      </w:r>
    </w:p>
    <w:p w:rsidR="00F93FDD" w:rsidRPr="00235B2D" w:rsidRDefault="00F93FDD" w:rsidP="00235B2D">
      <w:pPr>
        <w:pStyle w:val="Textodstavce"/>
        <w:numPr>
          <w:ilvl w:val="0"/>
          <w:numId w:val="0"/>
        </w:numPr>
        <w:rPr>
          <w:rFonts w:ascii="Calibri" w:hAnsi="Calibri"/>
          <w:sz w:val="10"/>
          <w:szCs w:val="10"/>
        </w:rPr>
      </w:pPr>
    </w:p>
    <w:p w:rsidR="00F93FDD" w:rsidRPr="00F93FDD" w:rsidRDefault="00F93FDD" w:rsidP="00235B2D">
      <w:pPr>
        <w:pStyle w:val="Novelizanbod"/>
        <w:keepNext w:val="0"/>
        <w:keepLines w:val="0"/>
        <w:numPr>
          <w:ilvl w:val="0"/>
          <w:numId w:val="24"/>
        </w:numPr>
        <w:spacing w:before="240"/>
        <w:ind w:left="357" w:hanging="357"/>
        <w:rPr>
          <w:rFonts w:ascii="Calibri" w:hAnsi="Calibri"/>
          <w:b/>
          <w:u w:val="single"/>
        </w:rPr>
      </w:pPr>
      <w:r w:rsidRPr="00F93FDD">
        <w:rPr>
          <w:rFonts w:ascii="Calibri" w:hAnsi="Calibri"/>
          <w:b/>
          <w:u w:val="single"/>
        </w:rPr>
        <w:t xml:space="preserve">§ </w:t>
      </w:r>
      <w:r>
        <w:rPr>
          <w:rFonts w:ascii="Calibri" w:hAnsi="Calibri"/>
          <w:b/>
          <w:u w:val="single"/>
        </w:rPr>
        <w:t>3</w:t>
      </w:r>
      <w:r w:rsidRPr="00F93FDD">
        <w:rPr>
          <w:rFonts w:ascii="Calibri" w:hAnsi="Calibri"/>
          <w:b/>
          <w:u w:val="single"/>
        </w:rPr>
        <w:t xml:space="preserve">, odstavec </w:t>
      </w:r>
      <w:r>
        <w:rPr>
          <w:rFonts w:ascii="Calibri" w:hAnsi="Calibri"/>
          <w:b/>
          <w:u w:val="single"/>
        </w:rPr>
        <w:t>2</w:t>
      </w:r>
      <w:r w:rsidRPr="00F93FDD">
        <w:rPr>
          <w:rFonts w:ascii="Calibri" w:hAnsi="Calibri"/>
          <w:b/>
          <w:u w:val="single"/>
        </w:rPr>
        <w:t xml:space="preserve">: Požadujeme upravit znění </w:t>
      </w:r>
      <w:r>
        <w:rPr>
          <w:rFonts w:ascii="Calibri" w:hAnsi="Calibri"/>
          <w:b/>
          <w:u w:val="single"/>
        </w:rPr>
        <w:t>dle následujícího doporučení/návrhu:</w:t>
      </w:r>
    </w:p>
    <w:p w:rsidR="00F93FDD" w:rsidRDefault="00F93FDD" w:rsidP="00F93FDD">
      <w:pPr>
        <w:pStyle w:val="Textodstavce"/>
        <w:numPr>
          <w:ilvl w:val="0"/>
          <w:numId w:val="0"/>
        </w:numPr>
        <w:rPr>
          <w:rFonts w:ascii="Calibri" w:hAnsi="Calibri"/>
          <w:i/>
        </w:rPr>
      </w:pPr>
      <w:r w:rsidRPr="00F93FDD">
        <w:rPr>
          <w:rFonts w:ascii="Calibri" w:hAnsi="Calibri"/>
          <w:i/>
        </w:rPr>
        <w:t xml:space="preserve">„(2) Za nabytí vlastnického práva k právu stavby se pro účely daně z nabytí nemovitých věcí považuje také </w:t>
      </w:r>
      <w:r w:rsidRPr="00F93FDD">
        <w:rPr>
          <w:rFonts w:ascii="Calibri" w:hAnsi="Calibri"/>
          <w:b/>
          <w:i/>
        </w:rPr>
        <w:t>úplatné</w:t>
      </w:r>
      <w:r w:rsidRPr="00F93FDD">
        <w:rPr>
          <w:rFonts w:ascii="Calibri" w:hAnsi="Calibri"/>
          <w:i/>
        </w:rPr>
        <w:t xml:space="preserve"> prodloužení doby, na kterou je právo stavby zřízeno.</w:t>
      </w:r>
      <w:r>
        <w:rPr>
          <w:rFonts w:ascii="Calibri" w:hAnsi="Calibri"/>
          <w:i/>
        </w:rPr>
        <w:t>“</w:t>
      </w:r>
    </w:p>
    <w:p w:rsidR="00F93FDD" w:rsidRPr="00E430FC" w:rsidRDefault="00D52031" w:rsidP="00F93FDD">
      <w:pPr>
        <w:pStyle w:val="Textodstavce"/>
        <w:numPr>
          <w:ilvl w:val="0"/>
          <w:numId w:val="0"/>
        </w:numPr>
        <w:rPr>
          <w:rFonts w:ascii="Calibri" w:hAnsi="Calibri"/>
        </w:rPr>
      </w:pPr>
      <w:r w:rsidRPr="00E430FC">
        <w:rPr>
          <w:rFonts w:ascii="Calibri" w:hAnsi="Calibri"/>
        </w:rPr>
        <w:t xml:space="preserve">Spolu s touto úpravou taktéž </w:t>
      </w:r>
      <w:r w:rsidR="00E430FC">
        <w:rPr>
          <w:rFonts w:ascii="Calibri" w:hAnsi="Calibri"/>
        </w:rPr>
        <w:t>následně upravit/</w:t>
      </w:r>
      <w:r w:rsidRPr="00E430FC">
        <w:rPr>
          <w:rFonts w:ascii="Calibri" w:hAnsi="Calibri"/>
        </w:rPr>
        <w:t>doplnit související ustanovení:</w:t>
      </w:r>
    </w:p>
    <w:p w:rsidR="00E430FC" w:rsidRPr="00E430FC" w:rsidRDefault="00E430FC" w:rsidP="00E430FC">
      <w:pPr>
        <w:pStyle w:val="Novelizanbod"/>
        <w:keepNext w:val="0"/>
        <w:keepLines w:val="0"/>
        <w:numPr>
          <w:ilvl w:val="0"/>
          <w:numId w:val="26"/>
        </w:numPr>
        <w:spacing w:before="120"/>
        <w:ind w:left="714" w:hanging="357"/>
        <w:rPr>
          <w:rFonts w:ascii="Calibri" w:hAnsi="Calibri"/>
        </w:rPr>
      </w:pPr>
      <w:r w:rsidRPr="00E430FC">
        <w:rPr>
          <w:rFonts w:ascii="Calibri" w:hAnsi="Calibri"/>
          <w:u w:val="single"/>
        </w:rPr>
        <w:t>§ 32, písm. b</w:t>
      </w:r>
      <w:r>
        <w:rPr>
          <w:rFonts w:ascii="Calibri" w:hAnsi="Calibri"/>
          <w:u w:val="single"/>
        </w:rPr>
        <w:t>)</w:t>
      </w:r>
      <w:r w:rsidRPr="00E430FC">
        <w:rPr>
          <w:rFonts w:ascii="Calibri" w:hAnsi="Calibri"/>
        </w:rPr>
        <w:t>: „</w:t>
      </w:r>
      <w:r w:rsidRPr="00E430FC">
        <w:rPr>
          <w:rFonts w:ascii="Calibri" w:hAnsi="Calibri"/>
          <w:i/>
        </w:rPr>
        <w:t xml:space="preserve">práva stavby nebo </w:t>
      </w:r>
      <w:r w:rsidRPr="00E430FC">
        <w:rPr>
          <w:rFonts w:ascii="Calibri" w:hAnsi="Calibri"/>
          <w:b/>
          <w:i/>
        </w:rPr>
        <w:t xml:space="preserve">úplatné </w:t>
      </w:r>
      <w:r w:rsidRPr="00E430FC">
        <w:rPr>
          <w:rFonts w:ascii="Calibri" w:hAnsi="Calibri"/>
          <w:i/>
        </w:rPr>
        <w:t>prodloužení doby, na kterou je toto právo zřízeno, nebo</w:t>
      </w:r>
      <w:r>
        <w:rPr>
          <w:rFonts w:ascii="Calibri" w:hAnsi="Calibri"/>
        </w:rPr>
        <w:t>“</w:t>
      </w:r>
    </w:p>
    <w:p w:rsidR="00E430FC" w:rsidRDefault="00E430FC" w:rsidP="00E430FC">
      <w:pPr>
        <w:pStyle w:val="Novelizanbod"/>
        <w:keepNext w:val="0"/>
        <w:keepLines w:val="0"/>
        <w:numPr>
          <w:ilvl w:val="0"/>
          <w:numId w:val="26"/>
        </w:numPr>
        <w:spacing w:before="120"/>
        <w:ind w:left="714" w:hanging="357"/>
        <w:rPr>
          <w:rFonts w:ascii="Calibri" w:hAnsi="Calibri"/>
          <w:i/>
        </w:rPr>
      </w:pPr>
      <w:r w:rsidRPr="00E430FC">
        <w:rPr>
          <w:rFonts w:ascii="Calibri" w:hAnsi="Calibri"/>
          <w:u w:val="single"/>
        </w:rPr>
        <w:t>§ 34, písm. a)</w:t>
      </w:r>
      <w:r w:rsidRPr="00E430FC">
        <w:rPr>
          <w:rFonts w:ascii="Calibri" w:hAnsi="Calibri"/>
        </w:rPr>
        <w:t>: „</w:t>
      </w:r>
      <w:r w:rsidRPr="00E430FC">
        <w:rPr>
          <w:rFonts w:ascii="Calibri" w:hAnsi="Calibri"/>
          <w:i/>
        </w:rPr>
        <w:t xml:space="preserve">písemnost, na jejímž základě bylo zapsáno vlastnické právo, právo stavby nebo </w:t>
      </w:r>
      <w:r w:rsidRPr="00E430FC">
        <w:rPr>
          <w:rFonts w:ascii="Calibri" w:hAnsi="Calibri"/>
          <w:b/>
          <w:i/>
        </w:rPr>
        <w:t xml:space="preserve">úplatné </w:t>
      </w:r>
      <w:r w:rsidRPr="00E430FC">
        <w:rPr>
          <w:rFonts w:ascii="Calibri" w:hAnsi="Calibri"/>
          <w:i/>
        </w:rPr>
        <w:t>prodloužení doby, na kterou je toto právo zřízeno, nebo správa svěřeneckého fondu…“</w:t>
      </w:r>
    </w:p>
    <w:p w:rsidR="00235B2D" w:rsidRPr="00235B2D" w:rsidRDefault="00235B2D" w:rsidP="00235B2D">
      <w:pPr>
        <w:rPr>
          <w:sz w:val="6"/>
          <w:szCs w:val="6"/>
        </w:rPr>
      </w:pPr>
    </w:p>
    <w:p w:rsidR="00F93FDD" w:rsidRPr="00F93FDD" w:rsidRDefault="00F93FDD" w:rsidP="00F93FDD">
      <w:pPr>
        <w:pStyle w:val="Textodstavce"/>
        <w:numPr>
          <w:ilvl w:val="0"/>
          <w:numId w:val="0"/>
        </w:numPr>
        <w:rPr>
          <w:rFonts w:ascii="Calibri" w:hAnsi="Calibri"/>
          <w:u w:val="single"/>
        </w:rPr>
      </w:pPr>
      <w:r w:rsidRPr="00F93FDD">
        <w:rPr>
          <w:rFonts w:ascii="Calibri" w:hAnsi="Calibri"/>
          <w:u w:val="single"/>
        </w:rPr>
        <w:t>Odůvodnění:</w:t>
      </w:r>
    </w:p>
    <w:p w:rsidR="00F93FDD" w:rsidRDefault="00F93FDD" w:rsidP="00F93FDD">
      <w:pPr>
        <w:pStyle w:val="Textodstavce"/>
        <w:numPr>
          <w:ilvl w:val="0"/>
          <w:numId w:val="0"/>
        </w:numPr>
        <w:rPr>
          <w:rFonts w:ascii="Calibri" w:hAnsi="Calibri"/>
        </w:rPr>
      </w:pPr>
      <w:r>
        <w:rPr>
          <w:rFonts w:ascii="Calibri" w:hAnsi="Calibri"/>
        </w:rPr>
        <w:t>Navržená/doporučená úprava</w:t>
      </w:r>
      <w:r w:rsidRPr="00F93FDD">
        <w:rPr>
          <w:rFonts w:ascii="Calibri" w:hAnsi="Calibri"/>
        </w:rPr>
        <w:t xml:space="preserve"> jednoznačně stanoví, že fikci, že se za nabytí vlastnického práva k nemovité věci považuje i úplatné prodloužení doby, na kterou je právo stavby zřízeno. Původně navržené znění</w:t>
      </w:r>
      <w:r>
        <w:rPr>
          <w:rFonts w:ascii="Calibri" w:hAnsi="Calibri"/>
        </w:rPr>
        <w:t xml:space="preserve"> předkladatelem</w:t>
      </w:r>
      <w:r w:rsidRPr="00F93FDD">
        <w:rPr>
          <w:rFonts w:ascii="Calibri" w:hAnsi="Calibri"/>
        </w:rPr>
        <w:t xml:space="preserve"> by mohlo dopadnout i na poctivého poplatníka daně, který zřídil právo stavby na základě dohody za jednorázovou úplatu, zaplatit předmětnou daň a následně z objektivních důvodů vyvstala potřeba prodloužení sjednané délky práva stavby, ovšem již bez úplaty. A poplatník daně by podle návrhu musel platit neodůvodněně daň opětovně. Cílem </w:t>
      </w:r>
      <w:r>
        <w:rPr>
          <w:rFonts w:ascii="Calibri" w:hAnsi="Calibri"/>
        </w:rPr>
        <w:t>námi předloženého návrhu</w:t>
      </w:r>
      <w:r w:rsidRPr="00F93FDD">
        <w:rPr>
          <w:rFonts w:ascii="Calibri" w:hAnsi="Calibri"/>
        </w:rPr>
        <w:t xml:space="preserve"> je eliminovat uvedené riziko nepřípustného dvojího zdanění poctivých poplatníků. </w:t>
      </w:r>
    </w:p>
    <w:p w:rsidR="007E6F2F" w:rsidRDefault="007E6F2F" w:rsidP="002F2430">
      <w:pPr>
        <w:rPr>
          <w:rFonts w:ascii="Calibri" w:hAnsi="Calibri"/>
          <w:sz w:val="10"/>
          <w:szCs w:val="10"/>
        </w:rPr>
      </w:pPr>
    </w:p>
    <w:p w:rsidR="00CB6609" w:rsidRPr="001E3D3E" w:rsidRDefault="00CB6609" w:rsidP="00CB6609">
      <w:pPr>
        <w:pStyle w:val="Novelizanbod"/>
        <w:keepNext w:val="0"/>
        <w:keepLines w:val="0"/>
        <w:numPr>
          <w:ilvl w:val="0"/>
          <w:numId w:val="24"/>
        </w:numPr>
        <w:spacing w:before="240"/>
        <w:ind w:left="357" w:hanging="357"/>
        <w:rPr>
          <w:rFonts w:ascii="Calibri" w:hAnsi="Calibri"/>
          <w:b/>
          <w:u w:val="single"/>
        </w:rPr>
      </w:pPr>
      <w:r w:rsidRPr="001E3D3E">
        <w:rPr>
          <w:rFonts w:ascii="Calibri" w:hAnsi="Calibri"/>
          <w:b/>
          <w:u w:val="single"/>
        </w:rPr>
        <w:t xml:space="preserve">§ 5, písmeno b): Požadujeme upravit znění dle následujícího doporučení/návrhu: </w:t>
      </w:r>
    </w:p>
    <w:p w:rsidR="00CB6609" w:rsidRPr="001E3D3E" w:rsidRDefault="00CB6609" w:rsidP="00CB6609">
      <w:pPr>
        <w:pStyle w:val="Textodstavce"/>
        <w:numPr>
          <w:ilvl w:val="0"/>
          <w:numId w:val="0"/>
        </w:numPr>
        <w:rPr>
          <w:rFonts w:ascii="Calibri" w:hAnsi="Calibri"/>
          <w:i/>
        </w:rPr>
      </w:pPr>
      <w:r w:rsidRPr="001E3D3E">
        <w:rPr>
          <w:rFonts w:ascii="Calibri" w:hAnsi="Calibri"/>
          <w:i/>
        </w:rPr>
        <w:t>„b) přeměnami právnických osob, nebo“</w:t>
      </w:r>
    </w:p>
    <w:p w:rsidR="00CB6609" w:rsidRPr="001E3D3E" w:rsidRDefault="00CB6609" w:rsidP="00CB6609">
      <w:pPr>
        <w:pStyle w:val="Textodstavce"/>
        <w:numPr>
          <w:ilvl w:val="0"/>
          <w:numId w:val="0"/>
        </w:numPr>
        <w:rPr>
          <w:rFonts w:ascii="Calibri" w:hAnsi="Calibri"/>
        </w:rPr>
      </w:pPr>
      <w:r w:rsidRPr="001E3D3E">
        <w:rPr>
          <w:rFonts w:ascii="Calibri" w:hAnsi="Calibri"/>
        </w:rPr>
        <w:t>Tedy vypustit z návrhu část „ s výjimkou převodu jmění na společníka“. A v této souvislosti vypustit § 18, odst. 1e)</w:t>
      </w:r>
    </w:p>
    <w:p w:rsidR="00CB6609" w:rsidRPr="001E3D3E" w:rsidRDefault="00CB6609" w:rsidP="00CB6609">
      <w:pPr>
        <w:pStyle w:val="Textodstavce"/>
        <w:numPr>
          <w:ilvl w:val="0"/>
          <w:numId w:val="0"/>
        </w:numPr>
        <w:rPr>
          <w:rFonts w:ascii="Calibri" w:hAnsi="Calibri"/>
          <w:u w:val="single"/>
        </w:rPr>
      </w:pPr>
      <w:r w:rsidRPr="001E3D3E">
        <w:rPr>
          <w:rFonts w:ascii="Calibri" w:hAnsi="Calibri"/>
          <w:u w:val="single"/>
        </w:rPr>
        <w:t>Odůvodnění:</w:t>
      </w:r>
    </w:p>
    <w:p w:rsidR="00CB6609" w:rsidRPr="001E3D3E" w:rsidRDefault="00CB6609" w:rsidP="00CB6609">
      <w:pPr>
        <w:pStyle w:val="Textodstavce"/>
        <w:numPr>
          <w:ilvl w:val="0"/>
          <w:numId w:val="0"/>
        </w:numPr>
        <w:rPr>
          <w:rFonts w:ascii="Calibri" w:hAnsi="Calibri"/>
        </w:rPr>
      </w:pPr>
      <w:r w:rsidRPr="001E3D3E">
        <w:rPr>
          <w:rFonts w:ascii="Calibri" w:hAnsi="Calibri"/>
        </w:rPr>
        <w:t xml:space="preserve">Jako pozitivní vidíme vynětí přeměn i jiných právnických osob než obchodních korporací z předmětu daně (§ 5, písm. b). Nicméně nevidíme důvod omezování daňové neutrality přeměn. </w:t>
      </w:r>
    </w:p>
    <w:p w:rsidR="00CB6609" w:rsidRPr="001E3D3E" w:rsidRDefault="00CB6609" w:rsidP="002F2430">
      <w:pPr>
        <w:rPr>
          <w:rFonts w:ascii="Calibri" w:hAnsi="Calibri"/>
          <w:sz w:val="10"/>
          <w:szCs w:val="10"/>
        </w:rPr>
      </w:pPr>
    </w:p>
    <w:p w:rsidR="00010ACB" w:rsidRPr="001E3D3E" w:rsidRDefault="00E430FC" w:rsidP="00E9164F">
      <w:pPr>
        <w:rPr>
          <w:rFonts w:ascii="Calibri" w:hAnsi="Calibri"/>
          <w:b/>
          <w:sz w:val="24"/>
          <w:szCs w:val="24"/>
        </w:rPr>
      </w:pPr>
      <w:r w:rsidRPr="001E3D3E">
        <w:rPr>
          <w:rFonts w:ascii="Calibri" w:hAnsi="Calibri"/>
          <w:b/>
          <w:sz w:val="24"/>
          <w:szCs w:val="24"/>
        </w:rPr>
        <w:t>Zásadní p</w:t>
      </w:r>
      <w:r w:rsidR="00010ACB" w:rsidRPr="001E3D3E">
        <w:rPr>
          <w:rFonts w:ascii="Calibri" w:hAnsi="Calibri"/>
          <w:b/>
          <w:sz w:val="24"/>
          <w:szCs w:val="24"/>
        </w:rPr>
        <w:t>řipomínky nad rámec předložených úprav</w:t>
      </w:r>
    </w:p>
    <w:p w:rsidR="005F4311" w:rsidRPr="001E3D3E" w:rsidRDefault="005F4311" w:rsidP="005F4311">
      <w:pPr>
        <w:pStyle w:val="Novelizanbod"/>
        <w:keepNext w:val="0"/>
        <w:keepLines w:val="0"/>
        <w:numPr>
          <w:ilvl w:val="0"/>
          <w:numId w:val="33"/>
        </w:numPr>
        <w:spacing w:before="240"/>
        <w:rPr>
          <w:rFonts w:ascii="Calibri" w:hAnsi="Calibri"/>
        </w:rPr>
      </w:pPr>
      <w:r w:rsidRPr="001E3D3E">
        <w:rPr>
          <w:rFonts w:ascii="Calibri" w:hAnsi="Calibri"/>
          <w:b/>
          <w:u w:val="single"/>
        </w:rPr>
        <w:t xml:space="preserve">§5: Požadujeme doplnit </w:t>
      </w:r>
      <w:r w:rsidR="00B04464" w:rsidRPr="001E3D3E">
        <w:rPr>
          <w:rFonts w:ascii="Calibri" w:hAnsi="Calibri"/>
          <w:b/>
          <w:u w:val="single"/>
        </w:rPr>
        <w:t xml:space="preserve">nové </w:t>
      </w:r>
      <w:r w:rsidRPr="001E3D3E">
        <w:rPr>
          <w:rFonts w:ascii="Calibri" w:hAnsi="Calibri"/>
          <w:b/>
          <w:u w:val="single"/>
        </w:rPr>
        <w:t xml:space="preserve">ustanovení </w:t>
      </w:r>
      <w:r w:rsidR="00B04464" w:rsidRPr="001E3D3E">
        <w:rPr>
          <w:rFonts w:ascii="Calibri" w:hAnsi="Calibri"/>
          <w:b/>
          <w:u w:val="single"/>
        </w:rPr>
        <w:t xml:space="preserve">(písmeno d) </w:t>
      </w:r>
      <w:r w:rsidRPr="001E3D3E">
        <w:rPr>
          <w:rFonts w:ascii="Calibri" w:hAnsi="Calibri"/>
          <w:b/>
          <w:u w:val="single"/>
        </w:rPr>
        <w:t xml:space="preserve">umožňující </w:t>
      </w:r>
      <w:r w:rsidR="0057418F" w:rsidRPr="001E3D3E">
        <w:rPr>
          <w:rFonts w:ascii="Calibri" w:hAnsi="Calibri"/>
          <w:b/>
          <w:u w:val="single"/>
        </w:rPr>
        <w:t>osvobození vkladů do základního kapitálu od daně z nabytí nemovitých věcí</w:t>
      </w:r>
    </w:p>
    <w:p w:rsidR="0057418F" w:rsidRPr="001E3D3E" w:rsidRDefault="0057418F" w:rsidP="0057418F">
      <w:pPr>
        <w:pStyle w:val="Textodstavce"/>
        <w:numPr>
          <w:ilvl w:val="0"/>
          <w:numId w:val="0"/>
        </w:numPr>
        <w:rPr>
          <w:rFonts w:ascii="Calibri" w:hAnsi="Calibri"/>
          <w:sz w:val="12"/>
          <w:szCs w:val="12"/>
        </w:rPr>
      </w:pPr>
    </w:p>
    <w:p w:rsidR="0057418F" w:rsidRPr="001E3D3E" w:rsidRDefault="0057418F" w:rsidP="0057418F">
      <w:pPr>
        <w:pStyle w:val="Textodstavce"/>
        <w:numPr>
          <w:ilvl w:val="0"/>
          <w:numId w:val="0"/>
        </w:numPr>
        <w:rPr>
          <w:rFonts w:ascii="Calibri" w:hAnsi="Calibri"/>
          <w:u w:val="single"/>
        </w:rPr>
      </w:pPr>
      <w:r w:rsidRPr="001E3D3E">
        <w:rPr>
          <w:rFonts w:ascii="Calibri" w:hAnsi="Calibri"/>
          <w:u w:val="single"/>
        </w:rPr>
        <w:t>Odůvodnění:</w:t>
      </w:r>
    </w:p>
    <w:p w:rsidR="0057418F" w:rsidRPr="001E3D3E" w:rsidRDefault="0057418F" w:rsidP="0057418F">
      <w:pPr>
        <w:pStyle w:val="Textodstavce"/>
        <w:numPr>
          <w:ilvl w:val="0"/>
          <w:numId w:val="0"/>
        </w:numPr>
        <w:rPr>
          <w:rFonts w:ascii="Calibri" w:hAnsi="Calibri"/>
        </w:rPr>
      </w:pPr>
      <w:r w:rsidRPr="001E3D3E">
        <w:rPr>
          <w:rFonts w:ascii="Calibri" w:hAnsi="Calibri"/>
        </w:rPr>
        <w:t>Daňové předpisy by měly rozvoj podnikání podporovat. Případné nezákonné praktiky v rámci těchto operací by měly být řešeny v rámci daňového řádu.</w:t>
      </w:r>
    </w:p>
    <w:p w:rsidR="0057418F" w:rsidRPr="001E3D3E" w:rsidRDefault="0057418F" w:rsidP="0057418F">
      <w:pPr>
        <w:pStyle w:val="Novelizanbod"/>
        <w:keepNext w:val="0"/>
        <w:keepLines w:val="0"/>
        <w:numPr>
          <w:ilvl w:val="0"/>
          <w:numId w:val="33"/>
        </w:numPr>
        <w:spacing w:before="240"/>
        <w:rPr>
          <w:rFonts w:ascii="Calibri" w:hAnsi="Calibri"/>
          <w:b/>
          <w:u w:val="single"/>
        </w:rPr>
      </w:pPr>
      <w:r w:rsidRPr="001E3D3E">
        <w:rPr>
          <w:rFonts w:ascii="Calibri" w:hAnsi="Calibri"/>
          <w:b/>
          <w:u w:val="single"/>
        </w:rPr>
        <w:lastRenderedPageBreak/>
        <w:t>§24: Požadujeme doplnit, aby za uznatelné výdaje byly uznávány také ostatní výdaje přímo související s převodem daného nemovitého majetku.</w:t>
      </w:r>
    </w:p>
    <w:p w:rsidR="0057418F" w:rsidRPr="001E3D3E" w:rsidRDefault="0057418F" w:rsidP="0057418F">
      <w:pPr>
        <w:pStyle w:val="Textodstavce"/>
        <w:numPr>
          <w:ilvl w:val="0"/>
          <w:numId w:val="0"/>
        </w:numPr>
        <w:rPr>
          <w:rFonts w:ascii="Calibri" w:hAnsi="Calibri"/>
          <w:sz w:val="12"/>
          <w:szCs w:val="12"/>
        </w:rPr>
      </w:pPr>
    </w:p>
    <w:p w:rsidR="0057418F" w:rsidRPr="001E3D3E" w:rsidRDefault="0057418F" w:rsidP="0057418F">
      <w:pPr>
        <w:pStyle w:val="Textodstavce"/>
        <w:numPr>
          <w:ilvl w:val="0"/>
          <w:numId w:val="0"/>
        </w:numPr>
        <w:rPr>
          <w:rFonts w:ascii="Calibri" w:hAnsi="Calibri"/>
          <w:u w:val="single"/>
        </w:rPr>
      </w:pPr>
      <w:r w:rsidRPr="001E3D3E">
        <w:rPr>
          <w:rFonts w:ascii="Calibri" w:hAnsi="Calibri"/>
          <w:u w:val="single"/>
        </w:rPr>
        <w:t>Odůvodnění:</w:t>
      </w:r>
    </w:p>
    <w:p w:rsidR="0057418F" w:rsidRPr="001E3D3E" w:rsidRDefault="00B04464" w:rsidP="0057418F">
      <w:pPr>
        <w:pStyle w:val="Textodstavce"/>
        <w:numPr>
          <w:ilvl w:val="0"/>
          <w:numId w:val="0"/>
        </w:numPr>
        <w:rPr>
          <w:rFonts w:ascii="Calibri" w:hAnsi="Calibri"/>
        </w:rPr>
      </w:pPr>
      <w:r w:rsidRPr="001E3D3E">
        <w:rPr>
          <w:rFonts w:ascii="Calibri" w:hAnsi="Calibri"/>
        </w:rPr>
        <w:t>Za uznatelné výdaje, o které lze snížit</w:t>
      </w:r>
      <w:r w:rsidR="0057418F" w:rsidRPr="001E3D3E">
        <w:rPr>
          <w:rFonts w:ascii="Calibri" w:hAnsi="Calibri"/>
        </w:rPr>
        <w:t xml:space="preserve"> základ daně, by měly být uznány i jiné výdaje než jsou výdaje na znalecký posudek. Příkladem mohou být různé poplatky, odměna notáři, či právníkovi, zprostředkovatelská provize a podobně spojené se zajištěním převodu nemovitosti.</w:t>
      </w:r>
    </w:p>
    <w:p w:rsidR="00010ACB" w:rsidRPr="00F93FDD" w:rsidRDefault="00010ACB" w:rsidP="00E9164F">
      <w:pPr>
        <w:rPr>
          <w:rFonts w:ascii="Calibri" w:hAnsi="Calibri"/>
          <w:sz w:val="24"/>
          <w:szCs w:val="24"/>
        </w:rPr>
      </w:pPr>
    </w:p>
    <w:p w:rsidR="00010ACB" w:rsidRPr="00F93FDD" w:rsidRDefault="00010ACB" w:rsidP="00E9164F">
      <w:pPr>
        <w:rPr>
          <w:rFonts w:ascii="Calibri" w:hAnsi="Calibri"/>
          <w:sz w:val="24"/>
          <w:szCs w:val="24"/>
        </w:rPr>
      </w:pPr>
    </w:p>
    <w:p w:rsidR="00E9164F" w:rsidRPr="00F93FDD" w:rsidRDefault="00E9164F" w:rsidP="00E9164F">
      <w:pPr>
        <w:jc w:val="right"/>
        <w:rPr>
          <w:rFonts w:ascii="Calibri" w:hAnsi="Calibri"/>
          <w:sz w:val="24"/>
          <w:szCs w:val="24"/>
        </w:rPr>
      </w:pPr>
      <w:r w:rsidRPr="00F93FDD">
        <w:rPr>
          <w:rFonts w:ascii="Calibri" w:hAnsi="Calibri"/>
          <w:sz w:val="24"/>
          <w:szCs w:val="24"/>
        </w:rPr>
        <w:t xml:space="preserve">V Praze dne </w:t>
      </w:r>
      <w:r w:rsidR="00E63CD0" w:rsidRPr="00F93FDD">
        <w:rPr>
          <w:rFonts w:ascii="Calibri" w:hAnsi="Calibri"/>
          <w:sz w:val="24"/>
          <w:szCs w:val="24"/>
        </w:rPr>
        <w:t>0</w:t>
      </w:r>
      <w:r w:rsidR="004A51F2">
        <w:rPr>
          <w:rFonts w:ascii="Calibri" w:hAnsi="Calibri"/>
          <w:sz w:val="24"/>
          <w:szCs w:val="24"/>
        </w:rPr>
        <w:t>3</w:t>
      </w:r>
      <w:bookmarkStart w:id="0" w:name="_GoBack"/>
      <w:bookmarkEnd w:id="0"/>
      <w:r w:rsidRPr="00F93FDD">
        <w:rPr>
          <w:rFonts w:ascii="Calibri" w:hAnsi="Calibri"/>
          <w:sz w:val="24"/>
          <w:szCs w:val="24"/>
        </w:rPr>
        <w:t>.</w:t>
      </w:r>
      <w:r w:rsidR="00E63CD0" w:rsidRPr="00F93FDD">
        <w:rPr>
          <w:rFonts w:ascii="Calibri" w:hAnsi="Calibri"/>
          <w:sz w:val="24"/>
          <w:szCs w:val="24"/>
        </w:rPr>
        <w:t>04.</w:t>
      </w:r>
      <w:r w:rsidRPr="00F93FDD">
        <w:rPr>
          <w:rFonts w:ascii="Calibri" w:hAnsi="Calibri"/>
          <w:sz w:val="24"/>
          <w:szCs w:val="24"/>
        </w:rPr>
        <w:t>2015</w:t>
      </w:r>
    </w:p>
    <w:p w:rsidR="00E9164F" w:rsidRPr="00F93FDD" w:rsidRDefault="00E9164F" w:rsidP="00E9164F">
      <w:pPr>
        <w:jc w:val="right"/>
        <w:rPr>
          <w:rFonts w:ascii="Calibri" w:hAnsi="Calibri"/>
          <w:sz w:val="24"/>
          <w:szCs w:val="24"/>
        </w:rPr>
      </w:pPr>
      <w:r w:rsidRPr="00F93FDD">
        <w:rPr>
          <w:rFonts w:ascii="Calibri" w:hAnsi="Calibri"/>
          <w:sz w:val="24"/>
          <w:szCs w:val="24"/>
        </w:rPr>
        <w:t>Kontaktní osoba: Ing. Bohuslav Čížek, Ph.D., MBA, bcizek@spcr.cz</w:t>
      </w:r>
    </w:p>
    <w:p w:rsidR="00E9164F" w:rsidRPr="00F93FDD" w:rsidRDefault="00E9164F" w:rsidP="00E9164F">
      <w:pPr>
        <w:rPr>
          <w:rFonts w:ascii="Calibri" w:hAnsi="Calibri"/>
          <w:sz w:val="24"/>
          <w:szCs w:val="24"/>
        </w:rPr>
      </w:pPr>
    </w:p>
    <w:p w:rsidR="009D3C9D" w:rsidRPr="00F93FDD" w:rsidRDefault="009D3C9D" w:rsidP="00E9164F">
      <w:pPr>
        <w:rPr>
          <w:rFonts w:ascii="Calibri" w:eastAsia="Calibri" w:hAnsi="Calibri"/>
          <w:sz w:val="24"/>
          <w:szCs w:val="24"/>
        </w:rPr>
      </w:pPr>
    </w:p>
    <w:sectPr w:rsidR="009D3C9D" w:rsidRPr="00F93FDD" w:rsidSect="0055097A">
      <w:headerReference w:type="first" r:id="rId8"/>
      <w:footerReference w:type="first" r:id="rId9"/>
      <w:pgSz w:w="11906" w:h="16838"/>
      <w:pgMar w:top="2268" w:right="1416" w:bottom="567" w:left="1701" w:header="992"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06" w:rsidRDefault="00DA6906">
      <w:r>
        <w:separator/>
      </w:r>
    </w:p>
  </w:endnote>
  <w:endnote w:type="continuationSeparator" w:id="0">
    <w:p w:rsidR="00DA6906" w:rsidRDefault="00DA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Omega">
    <w:altName w:val="Arial"/>
    <w:charset w:val="EE"/>
    <w:family w:val="swiss"/>
    <w:pitch w:val="variable"/>
    <w:sig w:usb0="00000007" w:usb1="00000000" w:usb2="00000000" w:usb3="00000000" w:csb0="00000093"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7A" w:rsidRDefault="0055097A" w:rsidP="0055097A">
    <w:pPr>
      <w:pStyle w:val="Zpat"/>
      <w:tabs>
        <w:tab w:val="left" w:pos="6804"/>
      </w:tabs>
      <w:spacing w:line="240" w:lineRule="atLeast"/>
      <w:rPr>
        <w:rFonts w:ascii="CG Omega" w:hAnsi="CG Omega"/>
        <w:color w:val="005FA4"/>
        <w:sz w:val="16"/>
      </w:rPr>
    </w:pPr>
    <w:r>
      <w:rPr>
        <w:rFonts w:ascii="CG Omega" w:hAnsi="CG Omega"/>
        <w:noProof/>
        <w:color w:val="005FA4"/>
        <w:sz w:val="16"/>
      </w:rPr>
      <w:drawing>
        <wp:anchor distT="0" distB="0" distL="114300" distR="114300" simplePos="0" relativeHeight="251662336" behindDoc="1" locked="0" layoutInCell="1" allowOverlap="1">
          <wp:simplePos x="0" y="0"/>
          <wp:positionH relativeFrom="column">
            <wp:posOffset>4266565</wp:posOffset>
          </wp:positionH>
          <wp:positionV relativeFrom="paragraph">
            <wp:posOffset>130810</wp:posOffset>
          </wp:positionV>
          <wp:extent cx="1543685" cy="373380"/>
          <wp:effectExtent l="19050" t="0" r="0" b="0"/>
          <wp:wrapNone/>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543685" cy="373380"/>
                  </a:xfrm>
                  <a:prstGeom prst="rect">
                    <a:avLst/>
                  </a:prstGeom>
                  <a:noFill/>
                </pic:spPr>
              </pic:pic>
            </a:graphicData>
          </a:graphic>
        </wp:anchor>
      </w:drawing>
    </w:r>
    <w:r w:rsidR="00CE1106">
      <w:rPr>
        <w:rFonts w:ascii="CG Omega" w:hAnsi="CG Omega"/>
        <w:noProof/>
        <w:color w:val="005FA4"/>
        <w:sz w:val="16"/>
      </w:rPr>
      <w:t>Freyova 948/11, 190 00</w:t>
    </w:r>
    <w:r w:rsidRPr="00B94002">
      <w:rPr>
        <w:rFonts w:ascii="CG Omega" w:hAnsi="CG Omega"/>
        <w:noProof/>
        <w:color w:val="005FA4"/>
        <w:sz w:val="16"/>
      </w:rPr>
      <w:t xml:space="preserve">  Praha 9</w:t>
    </w:r>
    <w:r>
      <w:rPr>
        <w:rFonts w:ascii="CG Omega" w:hAnsi="CG Omega"/>
        <w:color w:val="005FA4"/>
        <w:sz w:val="16"/>
      </w:rPr>
      <w:tab/>
    </w:r>
    <w:r>
      <w:rPr>
        <w:rFonts w:ascii="CG Omega" w:hAnsi="CG Omega"/>
        <w:color w:val="005FA4"/>
        <w:sz w:val="16"/>
      </w:rPr>
      <w:tab/>
    </w:r>
    <w:proofErr w:type="spellStart"/>
    <w:r>
      <w:rPr>
        <w:rFonts w:ascii="CG Omega" w:hAnsi="CG Omega"/>
        <w:color w:val="005FA4"/>
        <w:sz w:val="16"/>
      </w:rPr>
      <w:t>Member</w:t>
    </w:r>
    <w:proofErr w:type="spellEnd"/>
    <w:r>
      <w:rPr>
        <w:rFonts w:ascii="CG Omega" w:hAnsi="CG Omega"/>
        <w:color w:val="005FA4"/>
        <w:sz w:val="16"/>
      </w:rPr>
      <w:t xml:space="preserve"> </w:t>
    </w:r>
    <w:proofErr w:type="spellStart"/>
    <w:r>
      <w:rPr>
        <w:rFonts w:ascii="CG Omega" w:hAnsi="CG Omega"/>
        <w:color w:val="005FA4"/>
        <w:sz w:val="16"/>
      </w:rPr>
      <w:t>of</w:t>
    </w:r>
    <w:proofErr w:type="spellEnd"/>
  </w:p>
  <w:p w:rsidR="0055097A" w:rsidRDefault="0055097A" w:rsidP="0055097A">
    <w:pPr>
      <w:pStyle w:val="Zpat"/>
      <w:tabs>
        <w:tab w:val="left" w:pos="6663"/>
      </w:tabs>
      <w:spacing w:line="240" w:lineRule="atLeast"/>
      <w:rPr>
        <w:rFonts w:ascii="CG Omega" w:hAnsi="CG Omega"/>
        <w:color w:val="005FA4"/>
        <w:sz w:val="16"/>
      </w:rPr>
    </w:pPr>
    <w:r>
      <w:rPr>
        <w:rFonts w:ascii="CG Omega" w:hAnsi="CG Omega"/>
        <w:color w:val="005FA4"/>
        <w:sz w:val="16"/>
      </w:rPr>
      <w:t>Tel.: +420 225 279 111, Fax: +420 225 279 100</w:t>
    </w:r>
  </w:p>
  <w:p w:rsidR="0055097A" w:rsidRPr="00587D54" w:rsidRDefault="0055097A" w:rsidP="0055097A">
    <w:pPr>
      <w:pStyle w:val="Zpat"/>
      <w:tabs>
        <w:tab w:val="left" w:pos="6663"/>
      </w:tabs>
      <w:spacing w:line="240" w:lineRule="atLeast"/>
    </w:pPr>
    <w:r>
      <w:rPr>
        <w:rFonts w:ascii="CG Omega" w:hAnsi="CG Omega"/>
        <w:color w:val="005FA4"/>
        <w:sz w:val="16"/>
      </w:rPr>
      <w:t>e-mail: spcr</w:t>
    </w:r>
    <w:r w:rsidRPr="001F5E2B">
      <w:rPr>
        <w:rFonts w:ascii="CG Omega" w:hAnsi="CG Omega"/>
        <w:color w:val="005FA4"/>
        <w:sz w:val="16"/>
      </w:rPr>
      <w:t>@spcr.cz</w:t>
    </w:r>
    <w:r>
      <w:rPr>
        <w:rFonts w:ascii="CG Omega" w:hAnsi="CG Omega"/>
        <w:color w:val="005FA4"/>
        <w:sz w:val="16"/>
      </w:rPr>
      <w:t xml:space="preserve">, </w:t>
    </w:r>
    <w:r w:rsidRPr="001F5E2B">
      <w:rPr>
        <w:rFonts w:ascii="CG Omega" w:hAnsi="CG Omega"/>
        <w:color w:val="005FA4"/>
        <w:sz w:val="16"/>
      </w:rPr>
      <w:t>www.spcr.cz</w:t>
    </w:r>
  </w:p>
  <w:p w:rsidR="0055097A" w:rsidRDefault="005509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06" w:rsidRDefault="00DA6906">
      <w:r>
        <w:separator/>
      </w:r>
    </w:p>
  </w:footnote>
  <w:footnote w:type="continuationSeparator" w:id="0">
    <w:p w:rsidR="00DA6906" w:rsidRDefault="00DA6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7A" w:rsidRPr="00EF65E4" w:rsidRDefault="0055097A" w:rsidP="0055097A">
    <w:pPr>
      <w:pStyle w:val="Zhlav"/>
      <w:tabs>
        <w:tab w:val="clear" w:pos="4536"/>
        <w:tab w:val="left" w:pos="1134"/>
        <w:tab w:val="left" w:pos="6663"/>
      </w:tabs>
      <w:rPr>
        <w:rFonts w:ascii="CG Omega" w:hAnsi="CG Omega" w:cs="Raavi"/>
        <w:color w:val="005FA4"/>
        <w:sz w:val="24"/>
        <w:szCs w:val="24"/>
      </w:rPr>
    </w:pPr>
    <w:r>
      <w:rPr>
        <w:rFonts w:ascii="CG Omega" w:hAnsi="CG Omega" w:cs="Raavi"/>
        <w:noProof/>
        <w:color w:val="005FA4"/>
        <w:sz w:val="24"/>
        <w:szCs w:val="24"/>
      </w:rPr>
      <w:drawing>
        <wp:anchor distT="0" distB="0" distL="114300" distR="114300" simplePos="0" relativeHeight="251660288" behindDoc="1" locked="0" layoutInCell="1" allowOverlap="1">
          <wp:simplePos x="0" y="0"/>
          <wp:positionH relativeFrom="column">
            <wp:posOffset>-1905</wp:posOffset>
          </wp:positionH>
          <wp:positionV relativeFrom="paragraph">
            <wp:posOffset>28575</wp:posOffset>
          </wp:positionV>
          <wp:extent cx="626110" cy="464820"/>
          <wp:effectExtent l="19050" t="0" r="2540" b="0"/>
          <wp:wrapNone/>
          <wp:docPr id="1" name="obrázek 2" descr="sp2005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2005modre"/>
                  <pic:cNvPicPr>
                    <a:picLocks noChangeAspect="1" noChangeArrowheads="1"/>
                  </pic:cNvPicPr>
                </pic:nvPicPr>
                <pic:blipFill>
                  <a:blip r:embed="rId1"/>
                  <a:srcRect/>
                  <a:stretch>
                    <a:fillRect/>
                  </a:stretch>
                </pic:blipFill>
                <pic:spPr bwMode="auto">
                  <a:xfrm>
                    <a:off x="0" y="0"/>
                    <a:ext cx="626110" cy="464820"/>
                  </a:xfrm>
                  <a:prstGeom prst="rect">
                    <a:avLst/>
                  </a:prstGeom>
                  <a:noFill/>
                </pic:spPr>
              </pic:pic>
            </a:graphicData>
          </a:graphic>
        </wp:anchor>
      </w:drawing>
    </w:r>
    <w:r>
      <w:rPr>
        <w:rFonts w:ascii="CG Omega" w:hAnsi="CG Omega" w:cs="Raavi"/>
        <w:color w:val="005FA4"/>
        <w:sz w:val="24"/>
        <w:szCs w:val="24"/>
      </w:rPr>
      <w:tab/>
    </w:r>
    <w:r w:rsidRPr="00EF65E4">
      <w:rPr>
        <w:rFonts w:ascii="CG Omega" w:hAnsi="CG Omega" w:cs="Raavi"/>
        <w:color w:val="005FA4"/>
        <w:sz w:val="24"/>
        <w:szCs w:val="24"/>
      </w:rPr>
      <w:t>Svaz průmyslu a dopravy České republiky</w:t>
    </w:r>
  </w:p>
  <w:p w:rsidR="0055097A" w:rsidRPr="00EF65E4" w:rsidRDefault="0055097A" w:rsidP="0055097A">
    <w:pPr>
      <w:pStyle w:val="Zhlav"/>
      <w:tabs>
        <w:tab w:val="clear" w:pos="4536"/>
        <w:tab w:val="left" w:pos="1134"/>
        <w:tab w:val="left" w:pos="6663"/>
      </w:tabs>
      <w:ind w:firstLine="1134"/>
      <w:rPr>
        <w:rFonts w:ascii="CG Omega" w:hAnsi="CG Omega" w:cs="Raavi"/>
        <w:color w:val="005FA4"/>
        <w:sz w:val="24"/>
        <w:szCs w:val="24"/>
      </w:rPr>
    </w:pPr>
    <w:proofErr w:type="spellStart"/>
    <w:r w:rsidRPr="00EF65E4">
      <w:rPr>
        <w:rFonts w:ascii="CG Omega" w:hAnsi="CG Omega" w:cs="Raavi"/>
        <w:color w:val="005FA4"/>
        <w:sz w:val="24"/>
        <w:szCs w:val="24"/>
      </w:rPr>
      <w:t>Confederation</w:t>
    </w:r>
    <w:proofErr w:type="spellEnd"/>
    <w:r w:rsidRPr="00EF65E4">
      <w:rPr>
        <w:rFonts w:ascii="CG Omega" w:hAnsi="CG Omega" w:cs="Raavi"/>
        <w:color w:val="005FA4"/>
        <w:sz w:val="24"/>
        <w:szCs w:val="24"/>
      </w:rPr>
      <w:t xml:space="preserve"> </w:t>
    </w:r>
    <w:proofErr w:type="spellStart"/>
    <w:r w:rsidRPr="00EF65E4">
      <w:rPr>
        <w:rFonts w:ascii="CG Omega" w:hAnsi="CG Omega" w:cs="Raavi"/>
        <w:color w:val="005FA4"/>
        <w:sz w:val="24"/>
        <w:szCs w:val="24"/>
      </w:rPr>
      <w:t>of</w:t>
    </w:r>
    <w:proofErr w:type="spellEnd"/>
    <w:r w:rsidRPr="00EF65E4">
      <w:rPr>
        <w:rFonts w:ascii="CG Omega" w:hAnsi="CG Omega" w:cs="Raavi"/>
        <w:color w:val="005FA4"/>
        <w:sz w:val="24"/>
        <w:szCs w:val="24"/>
      </w:rPr>
      <w:t xml:space="preserve"> </w:t>
    </w:r>
    <w:proofErr w:type="spellStart"/>
    <w:r w:rsidRPr="00EF65E4">
      <w:rPr>
        <w:rFonts w:ascii="CG Omega" w:hAnsi="CG Omega" w:cs="Raavi"/>
        <w:color w:val="005FA4"/>
        <w:sz w:val="24"/>
        <w:szCs w:val="24"/>
      </w:rPr>
      <w:t>Industry</w:t>
    </w:r>
    <w:proofErr w:type="spellEnd"/>
    <w:r w:rsidRPr="00EF65E4">
      <w:rPr>
        <w:rFonts w:ascii="CG Omega" w:hAnsi="CG Omega" w:cs="Raavi"/>
        <w:color w:val="005FA4"/>
        <w:sz w:val="24"/>
        <w:szCs w:val="24"/>
      </w:rPr>
      <w:t xml:space="preserve"> </w:t>
    </w:r>
    <w:proofErr w:type="spellStart"/>
    <w:r w:rsidRPr="00EF65E4">
      <w:rPr>
        <w:rFonts w:ascii="CG Omega" w:hAnsi="CG Omega" w:cs="Raavi"/>
        <w:color w:val="005FA4"/>
        <w:sz w:val="24"/>
        <w:szCs w:val="24"/>
      </w:rPr>
      <w:t>of</w:t>
    </w:r>
    <w:proofErr w:type="spellEnd"/>
    <w:r w:rsidRPr="00EF65E4">
      <w:rPr>
        <w:rFonts w:ascii="CG Omega" w:hAnsi="CG Omega" w:cs="Raavi"/>
        <w:color w:val="005FA4"/>
        <w:sz w:val="24"/>
        <w:szCs w:val="24"/>
      </w:rPr>
      <w:t xml:space="preserve"> </w:t>
    </w:r>
    <w:proofErr w:type="spellStart"/>
    <w:r w:rsidRPr="00EF65E4">
      <w:rPr>
        <w:rFonts w:ascii="CG Omega" w:hAnsi="CG Omega" w:cs="Raavi"/>
        <w:color w:val="005FA4"/>
        <w:sz w:val="24"/>
        <w:szCs w:val="24"/>
      </w:rPr>
      <w:t>the</w:t>
    </w:r>
    <w:proofErr w:type="spellEnd"/>
    <w:r w:rsidRPr="00EF65E4">
      <w:rPr>
        <w:rFonts w:ascii="CG Omega" w:hAnsi="CG Omega" w:cs="Raavi"/>
        <w:color w:val="005FA4"/>
        <w:sz w:val="24"/>
        <w:szCs w:val="24"/>
      </w:rPr>
      <w:t xml:space="preserve"> Czech Republic</w:t>
    </w:r>
  </w:p>
  <w:p w:rsidR="00186154" w:rsidRDefault="0018615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1078"/>
    <w:multiLevelType w:val="hybridMultilevel"/>
    <w:tmpl w:val="6EC61D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4002D5"/>
    <w:multiLevelType w:val="hybridMultilevel"/>
    <w:tmpl w:val="A46E7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096D5E"/>
    <w:multiLevelType w:val="hybridMultilevel"/>
    <w:tmpl w:val="CE563A08"/>
    <w:lvl w:ilvl="0" w:tplc="0405000F">
      <w:start w:val="6"/>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1BD35E9"/>
    <w:multiLevelType w:val="hybridMultilevel"/>
    <w:tmpl w:val="1E286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AE58D1"/>
    <w:multiLevelType w:val="hybridMultilevel"/>
    <w:tmpl w:val="66D46C10"/>
    <w:lvl w:ilvl="0" w:tplc="2376C6B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9371BD0"/>
    <w:multiLevelType w:val="singleLevel"/>
    <w:tmpl w:val="45A8A8E6"/>
    <w:lvl w:ilvl="0">
      <w:start w:val="1"/>
      <w:numFmt w:val="decimal"/>
      <w:pStyle w:val="Novelizanbod"/>
      <w:lvlText w:val="%1."/>
      <w:lvlJc w:val="left"/>
      <w:pPr>
        <w:tabs>
          <w:tab w:val="num" w:pos="567"/>
        </w:tabs>
        <w:ind w:left="567" w:hanging="567"/>
      </w:pPr>
      <w:rPr>
        <w:b/>
        <w:i w:val="0"/>
      </w:rPr>
    </w:lvl>
  </w:abstractNum>
  <w:abstractNum w:abstractNumId="6">
    <w:nsid w:val="1A351A07"/>
    <w:multiLevelType w:val="singleLevel"/>
    <w:tmpl w:val="7A488230"/>
    <w:lvl w:ilvl="0">
      <w:numFmt w:val="bullet"/>
      <w:lvlText w:val="-"/>
      <w:lvlJc w:val="left"/>
      <w:pPr>
        <w:tabs>
          <w:tab w:val="num" w:pos="360"/>
        </w:tabs>
        <w:ind w:left="360" w:hanging="360"/>
      </w:pPr>
      <w:rPr>
        <w:rFonts w:ascii="Times New Roman" w:hAnsi="Times New Roman" w:hint="default"/>
      </w:rPr>
    </w:lvl>
  </w:abstractNum>
  <w:abstractNum w:abstractNumId="7">
    <w:nsid w:val="212C592B"/>
    <w:multiLevelType w:val="hybridMultilevel"/>
    <w:tmpl w:val="23F6D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626C8E"/>
    <w:multiLevelType w:val="hybridMultilevel"/>
    <w:tmpl w:val="AE301A6A"/>
    <w:lvl w:ilvl="0" w:tplc="1046A3A0">
      <w:start w:val="4"/>
      <w:numFmt w:val="bullet"/>
      <w:lvlText w:val="-"/>
      <w:lvlJc w:val="left"/>
      <w:pPr>
        <w:ind w:left="720" w:hanging="360"/>
      </w:pPr>
      <w:rPr>
        <w:rFonts w:ascii="Times New Roman" w:eastAsia="Georgia"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24557F2"/>
    <w:multiLevelType w:val="hybridMultilevel"/>
    <w:tmpl w:val="5506360A"/>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nsid w:val="3262043F"/>
    <w:multiLevelType w:val="hybridMultilevel"/>
    <w:tmpl w:val="3CFCEC14"/>
    <w:lvl w:ilvl="0" w:tplc="966893E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556F15"/>
    <w:multiLevelType w:val="hybridMultilevel"/>
    <w:tmpl w:val="517671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471567"/>
    <w:multiLevelType w:val="hybridMultilevel"/>
    <w:tmpl w:val="7870E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CB5BAD"/>
    <w:multiLevelType w:val="hybridMultilevel"/>
    <w:tmpl w:val="7A94134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23661B8"/>
    <w:multiLevelType w:val="hybridMultilevel"/>
    <w:tmpl w:val="115EC8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10167BA"/>
    <w:multiLevelType w:val="hybridMultilevel"/>
    <w:tmpl w:val="21645F1C"/>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6">
    <w:nsid w:val="54D42386"/>
    <w:multiLevelType w:val="hybridMultilevel"/>
    <w:tmpl w:val="66D46C10"/>
    <w:lvl w:ilvl="0" w:tplc="2376C6B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89B761F"/>
    <w:multiLevelType w:val="hybridMultilevel"/>
    <w:tmpl w:val="B3E86E32"/>
    <w:lvl w:ilvl="0" w:tplc="317AA54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E007780"/>
    <w:multiLevelType w:val="hybridMultilevel"/>
    <w:tmpl w:val="A684B50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613E5DCD"/>
    <w:multiLevelType w:val="hybridMultilevel"/>
    <w:tmpl w:val="C0864F7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61A713B2"/>
    <w:multiLevelType w:val="singleLevel"/>
    <w:tmpl w:val="0405000F"/>
    <w:lvl w:ilvl="0">
      <w:start w:val="1"/>
      <w:numFmt w:val="decimal"/>
      <w:lvlText w:val="%1."/>
      <w:lvlJc w:val="left"/>
      <w:pPr>
        <w:tabs>
          <w:tab w:val="num" w:pos="360"/>
        </w:tabs>
        <w:ind w:left="360" w:hanging="360"/>
      </w:pPr>
    </w:lvl>
  </w:abstractNum>
  <w:abstractNum w:abstractNumId="21">
    <w:nsid w:val="6AAF1A1F"/>
    <w:multiLevelType w:val="multilevel"/>
    <w:tmpl w:val="4C8628EA"/>
    <w:lvl w:ilvl="0">
      <w:start w:val="1"/>
      <w:numFmt w:val="decimal"/>
      <w:pStyle w:val="Textodstavce"/>
      <w:isLgl/>
      <w:lvlText w:val="(%1)"/>
      <w:lvlJc w:val="left"/>
      <w:pPr>
        <w:tabs>
          <w:tab w:val="num" w:pos="782"/>
        </w:tabs>
        <w:ind w:left="0" w:firstLine="425"/>
      </w:pPr>
      <w:rPr>
        <w:rFonts w:hint="default"/>
      </w:rPr>
    </w:lvl>
    <w:lvl w:ilvl="1">
      <w:start w:val="2"/>
      <w:numFmt w:val="lowerLetter"/>
      <w:pStyle w:val="Textpsmene"/>
      <w:lvlText w:val="%2)"/>
      <w:lvlJc w:val="left"/>
      <w:pPr>
        <w:tabs>
          <w:tab w:val="num" w:pos="425"/>
        </w:tabs>
        <w:ind w:left="425" w:hanging="425"/>
      </w:pPr>
      <w:rPr>
        <w:rFonts w:hint="default"/>
      </w:rPr>
    </w:lvl>
    <w:lvl w:ilvl="2">
      <w:start w:val="1"/>
      <w:numFmt w:val="decimal"/>
      <w:pStyle w:val="Textbodu"/>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AC08CA"/>
    <w:multiLevelType w:val="hybridMultilevel"/>
    <w:tmpl w:val="B0682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EA6762D"/>
    <w:multiLevelType w:val="hybridMultilevel"/>
    <w:tmpl w:val="F7C4D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F4E1CDF"/>
    <w:multiLevelType w:val="hybridMultilevel"/>
    <w:tmpl w:val="31447F10"/>
    <w:lvl w:ilvl="0" w:tplc="F886B8E8">
      <w:numFmt w:val="bullet"/>
      <w:lvlText w:val="-"/>
      <w:lvlJc w:val="left"/>
      <w:pPr>
        <w:ind w:left="720" w:hanging="360"/>
      </w:pPr>
      <w:rPr>
        <w:rFonts w:ascii="Calibri" w:eastAsiaTheme="minorHAnsi" w:hAnsi="Calibri" w:cstheme="minorBidi"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4"/>
  </w:num>
  <w:num w:numId="4">
    <w:abstractNumId w:val="7"/>
  </w:num>
  <w:num w:numId="5">
    <w:abstractNumId w:val="3"/>
  </w:num>
  <w:num w:numId="6">
    <w:abstractNumId w:val="17"/>
  </w:num>
  <w:num w:numId="7">
    <w:abstractNumId w:val="1"/>
  </w:num>
  <w:num w:numId="8">
    <w:abstractNumId w:val="6"/>
  </w:num>
  <w:num w:numId="9">
    <w:abstractNumId w:val="15"/>
  </w:num>
  <w:num w:numId="10">
    <w:abstractNumId w:val="13"/>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3"/>
  </w:num>
  <w:num w:numId="16">
    <w:abstractNumId w:val="22"/>
  </w:num>
  <w:num w:numId="17">
    <w:abstractNumId w:val="12"/>
  </w:num>
  <w:num w:numId="18">
    <w:abstractNumId w:val="5"/>
  </w:num>
  <w:num w:numId="19">
    <w:abstractNumId w:val="21"/>
  </w:num>
  <w:num w:numId="20">
    <w:abstractNumId w:val="10"/>
  </w:num>
  <w:num w:numId="21">
    <w:abstractNumId w:val="18"/>
  </w:num>
  <w:num w:numId="22">
    <w:abstractNumId w:val="11"/>
  </w:num>
  <w:num w:numId="23">
    <w:abstractNumId w:val="21"/>
  </w:num>
  <w:num w:numId="24">
    <w:abstractNumId w:val="16"/>
  </w:num>
  <w:num w:numId="25">
    <w:abstractNumId w:val="5"/>
  </w:num>
  <w:num w:numId="26">
    <w:abstractNumId w:val="14"/>
  </w:num>
  <w:num w:numId="27">
    <w:abstractNumId w:val="5"/>
  </w:num>
  <w:num w:numId="28">
    <w:abstractNumId w:val="21"/>
  </w:num>
  <w:num w:numId="29">
    <w:abstractNumId w:val="21"/>
  </w:num>
  <w:num w:numId="30">
    <w:abstractNumId w:val="5"/>
  </w:num>
  <w:num w:numId="31">
    <w:abstractNumId w:val="21"/>
  </w:num>
  <w:num w:numId="32">
    <w:abstractNumId w:val="21"/>
  </w:num>
  <w:num w:numId="33">
    <w:abstractNumId w:val="4"/>
  </w:num>
  <w:num w:numId="34">
    <w:abstractNumId w:val="21"/>
  </w:num>
  <w:num w:numId="35">
    <w:abstractNumId w:val="21"/>
  </w:num>
  <w:num w:numId="36">
    <w:abstractNumId w:val="5"/>
  </w:num>
  <w:num w:numId="37">
    <w:abstractNumId w:val="5"/>
    <w:lvlOverride w:ilvl="0">
      <w:startOverride w:val="1"/>
    </w:lvlOverride>
  </w:num>
  <w:num w:numId="3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1"/>
  </w:num>
  <w:num w:numId="41">
    <w:abstractNumId w:val="21"/>
  </w:num>
  <w:num w:numId="42">
    <w:abstractNumId w:val="2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
  <w:rsids>
    <w:rsidRoot w:val="006E14D4"/>
    <w:rsid w:val="00010915"/>
    <w:rsid w:val="00010ACB"/>
    <w:rsid w:val="00015A35"/>
    <w:rsid w:val="00035BA3"/>
    <w:rsid w:val="000538FC"/>
    <w:rsid w:val="0008049E"/>
    <w:rsid w:val="0012204B"/>
    <w:rsid w:val="001378E9"/>
    <w:rsid w:val="00147E7C"/>
    <w:rsid w:val="00186154"/>
    <w:rsid w:val="0019279B"/>
    <w:rsid w:val="00196351"/>
    <w:rsid w:val="001964E4"/>
    <w:rsid w:val="001A2C52"/>
    <w:rsid w:val="001B3FEF"/>
    <w:rsid w:val="001C002A"/>
    <w:rsid w:val="001D104D"/>
    <w:rsid w:val="001E3D3E"/>
    <w:rsid w:val="001E5812"/>
    <w:rsid w:val="001F5E2B"/>
    <w:rsid w:val="0020289B"/>
    <w:rsid w:val="00211177"/>
    <w:rsid w:val="002326A0"/>
    <w:rsid w:val="00235B2D"/>
    <w:rsid w:val="00273377"/>
    <w:rsid w:val="002A43C2"/>
    <w:rsid w:val="002A7C1D"/>
    <w:rsid w:val="002C316A"/>
    <w:rsid w:val="002C5D4E"/>
    <w:rsid w:val="002C6894"/>
    <w:rsid w:val="002F08AC"/>
    <w:rsid w:val="002F2430"/>
    <w:rsid w:val="003012DE"/>
    <w:rsid w:val="0030418E"/>
    <w:rsid w:val="00305260"/>
    <w:rsid w:val="0036516B"/>
    <w:rsid w:val="00380FD4"/>
    <w:rsid w:val="00385F26"/>
    <w:rsid w:val="003933BB"/>
    <w:rsid w:val="00396EF8"/>
    <w:rsid w:val="003A74B6"/>
    <w:rsid w:val="003B2382"/>
    <w:rsid w:val="00404034"/>
    <w:rsid w:val="004073B9"/>
    <w:rsid w:val="00430101"/>
    <w:rsid w:val="004449AD"/>
    <w:rsid w:val="0046184E"/>
    <w:rsid w:val="004626C4"/>
    <w:rsid w:val="004841E2"/>
    <w:rsid w:val="004A2979"/>
    <w:rsid w:val="004A51F2"/>
    <w:rsid w:val="004C3388"/>
    <w:rsid w:val="004D1273"/>
    <w:rsid w:val="004E1EA9"/>
    <w:rsid w:val="004F3551"/>
    <w:rsid w:val="00500ABF"/>
    <w:rsid w:val="0050201F"/>
    <w:rsid w:val="00505E03"/>
    <w:rsid w:val="00516346"/>
    <w:rsid w:val="00527BF6"/>
    <w:rsid w:val="005326B0"/>
    <w:rsid w:val="0055097A"/>
    <w:rsid w:val="0056247D"/>
    <w:rsid w:val="0057418F"/>
    <w:rsid w:val="005752A7"/>
    <w:rsid w:val="00587D54"/>
    <w:rsid w:val="005C132C"/>
    <w:rsid w:val="005C1990"/>
    <w:rsid w:val="005C4F14"/>
    <w:rsid w:val="005E06C6"/>
    <w:rsid w:val="005F4311"/>
    <w:rsid w:val="005F451A"/>
    <w:rsid w:val="00613CB2"/>
    <w:rsid w:val="006148A7"/>
    <w:rsid w:val="00666985"/>
    <w:rsid w:val="006801B2"/>
    <w:rsid w:val="006D677E"/>
    <w:rsid w:val="006E14D4"/>
    <w:rsid w:val="006F453C"/>
    <w:rsid w:val="006F7418"/>
    <w:rsid w:val="00712273"/>
    <w:rsid w:val="00716C3A"/>
    <w:rsid w:val="007467C6"/>
    <w:rsid w:val="00752EF3"/>
    <w:rsid w:val="00753F1B"/>
    <w:rsid w:val="007604C1"/>
    <w:rsid w:val="007936B9"/>
    <w:rsid w:val="007A01BB"/>
    <w:rsid w:val="007D4A2C"/>
    <w:rsid w:val="007D5038"/>
    <w:rsid w:val="007E6F2F"/>
    <w:rsid w:val="00812AC6"/>
    <w:rsid w:val="00835DE1"/>
    <w:rsid w:val="00840C14"/>
    <w:rsid w:val="00891369"/>
    <w:rsid w:val="00902A8D"/>
    <w:rsid w:val="009040E2"/>
    <w:rsid w:val="00917B4E"/>
    <w:rsid w:val="009304EF"/>
    <w:rsid w:val="00941F29"/>
    <w:rsid w:val="00981D04"/>
    <w:rsid w:val="00992575"/>
    <w:rsid w:val="009A4FC5"/>
    <w:rsid w:val="009A6D06"/>
    <w:rsid w:val="009B4A41"/>
    <w:rsid w:val="009C461D"/>
    <w:rsid w:val="009C4985"/>
    <w:rsid w:val="009D3C9D"/>
    <w:rsid w:val="009E39C5"/>
    <w:rsid w:val="00A02AFE"/>
    <w:rsid w:val="00A2226D"/>
    <w:rsid w:val="00A522AD"/>
    <w:rsid w:val="00A65856"/>
    <w:rsid w:val="00A94EAD"/>
    <w:rsid w:val="00AA1180"/>
    <w:rsid w:val="00AB049A"/>
    <w:rsid w:val="00B04464"/>
    <w:rsid w:val="00B075B8"/>
    <w:rsid w:val="00B11D72"/>
    <w:rsid w:val="00B23762"/>
    <w:rsid w:val="00B278D4"/>
    <w:rsid w:val="00B772B5"/>
    <w:rsid w:val="00B83705"/>
    <w:rsid w:val="00B94002"/>
    <w:rsid w:val="00BC7337"/>
    <w:rsid w:val="00BD1085"/>
    <w:rsid w:val="00C04064"/>
    <w:rsid w:val="00C14C8D"/>
    <w:rsid w:val="00C403A6"/>
    <w:rsid w:val="00C70646"/>
    <w:rsid w:val="00C8642E"/>
    <w:rsid w:val="00C9219D"/>
    <w:rsid w:val="00CA7716"/>
    <w:rsid w:val="00CB2434"/>
    <w:rsid w:val="00CB6609"/>
    <w:rsid w:val="00CC4928"/>
    <w:rsid w:val="00CC4CC3"/>
    <w:rsid w:val="00CE1106"/>
    <w:rsid w:val="00CE5C0C"/>
    <w:rsid w:val="00D167D4"/>
    <w:rsid w:val="00D5136D"/>
    <w:rsid w:val="00D52031"/>
    <w:rsid w:val="00D6020C"/>
    <w:rsid w:val="00D6700E"/>
    <w:rsid w:val="00D74A61"/>
    <w:rsid w:val="00DA6906"/>
    <w:rsid w:val="00E02395"/>
    <w:rsid w:val="00E357B4"/>
    <w:rsid w:val="00E42CAA"/>
    <w:rsid w:val="00E430FC"/>
    <w:rsid w:val="00E45824"/>
    <w:rsid w:val="00E531A3"/>
    <w:rsid w:val="00E63CD0"/>
    <w:rsid w:val="00E81FCE"/>
    <w:rsid w:val="00E84D95"/>
    <w:rsid w:val="00E857EB"/>
    <w:rsid w:val="00E9164F"/>
    <w:rsid w:val="00EB74EB"/>
    <w:rsid w:val="00EC781B"/>
    <w:rsid w:val="00EF390F"/>
    <w:rsid w:val="00EF65E4"/>
    <w:rsid w:val="00F008EF"/>
    <w:rsid w:val="00F12A31"/>
    <w:rsid w:val="00F41F64"/>
    <w:rsid w:val="00F51FAA"/>
    <w:rsid w:val="00F52648"/>
    <w:rsid w:val="00F7070D"/>
    <w:rsid w:val="00F87773"/>
    <w:rsid w:val="00F93FDD"/>
    <w:rsid w:val="00FE28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841E2"/>
  </w:style>
  <w:style w:type="paragraph" w:styleId="Nadpis1">
    <w:name w:val="heading 1"/>
    <w:basedOn w:val="Normln"/>
    <w:next w:val="Normln"/>
    <w:qFormat/>
    <w:rsid w:val="004841E2"/>
    <w:pPr>
      <w:keepNext/>
      <w:outlineLvl w:val="0"/>
    </w:pPr>
    <w:rPr>
      <w:sz w:val="24"/>
    </w:rPr>
  </w:style>
  <w:style w:type="paragraph" w:styleId="Nadpis2">
    <w:name w:val="heading 2"/>
    <w:basedOn w:val="Normln"/>
    <w:next w:val="Normln"/>
    <w:qFormat/>
    <w:rsid w:val="004841E2"/>
    <w:pPr>
      <w:keepNext/>
      <w:jc w:val="both"/>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4841E2"/>
    <w:rPr>
      <w:color w:val="0000FF"/>
      <w:u w:val="single"/>
    </w:rPr>
  </w:style>
  <w:style w:type="paragraph" w:styleId="Zhlav">
    <w:name w:val="header"/>
    <w:basedOn w:val="Normln"/>
    <w:link w:val="ZhlavChar"/>
    <w:uiPriority w:val="99"/>
    <w:rsid w:val="004841E2"/>
    <w:pPr>
      <w:tabs>
        <w:tab w:val="center" w:pos="4536"/>
        <w:tab w:val="right" w:pos="9072"/>
      </w:tabs>
    </w:pPr>
  </w:style>
  <w:style w:type="paragraph" w:styleId="Zpat">
    <w:name w:val="footer"/>
    <w:basedOn w:val="Normln"/>
    <w:link w:val="ZpatChar"/>
    <w:rsid w:val="004841E2"/>
    <w:pPr>
      <w:tabs>
        <w:tab w:val="center" w:pos="4536"/>
        <w:tab w:val="right" w:pos="9072"/>
      </w:tabs>
    </w:pPr>
  </w:style>
  <w:style w:type="table" w:styleId="Mkatabulky">
    <w:name w:val="Table Grid"/>
    <w:basedOn w:val="Normlntabulka"/>
    <w:rsid w:val="00840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basedOn w:val="Standardnpsmoodstavce"/>
    <w:link w:val="Zpat"/>
    <w:rsid w:val="00B94002"/>
  </w:style>
  <w:style w:type="paragraph" w:styleId="Odstavecseseznamem">
    <w:name w:val="List Paragraph"/>
    <w:basedOn w:val="Normln"/>
    <w:uiPriority w:val="34"/>
    <w:qFormat/>
    <w:rsid w:val="001C002A"/>
    <w:pPr>
      <w:spacing w:after="200" w:line="276" w:lineRule="auto"/>
      <w:ind w:left="720"/>
      <w:contextualSpacing/>
    </w:pPr>
    <w:rPr>
      <w:rFonts w:asciiTheme="minorHAnsi" w:eastAsiaTheme="minorHAnsi" w:hAnsiTheme="minorHAnsi" w:cstheme="minorBidi"/>
      <w:sz w:val="22"/>
      <w:szCs w:val="22"/>
      <w:lang w:eastAsia="en-US"/>
    </w:rPr>
  </w:style>
  <w:style w:type="paragraph" w:styleId="Nzev">
    <w:name w:val="Title"/>
    <w:basedOn w:val="Normln"/>
    <w:link w:val="NzevChar"/>
    <w:qFormat/>
    <w:rsid w:val="009A4FC5"/>
    <w:pPr>
      <w:spacing w:after="200" w:line="600" w:lineRule="auto"/>
      <w:jc w:val="center"/>
    </w:pPr>
    <w:rPr>
      <w:rFonts w:ascii="Calibri" w:eastAsia="Calibri" w:hAnsi="Calibri"/>
      <w:color w:val="0000FF"/>
      <w:sz w:val="28"/>
      <w:szCs w:val="22"/>
      <w:u w:val="single"/>
      <w:lang w:eastAsia="en-US"/>
    </w:rPr>
  </w:style>
  <w:style w:type="character" w:customStyle="1" w:styleId="NzevChar">
    <w:name w:val="Název Char"/>
    <w:basedOn w:val="Standardnpsmoodstavce"/>
    <w:link w:val="Nzev"/>
    <w:rsid w:val="009A4FC5"/>
    <w:rPr>
      <w:rFonts w:ascii="Calibri" w:eastAsia="Calibri" w:hAnsi="Calibri"/>
      <w:color w:val="0000FF"/>
      <w:sz w:val="28"/>
      <w:szCs w:val="22"/>
      <w:u w:val="single"/>
      <w:lang w:eastAsia="en-US"/>
    </w:rPr>
  </w:style>
  <w:style w:type="character" w:customStyle="1" w:styleId="ZhlavChar">
    <w:name w:val="Záhlaví Char"/>
    <w:basedOn w:val="Standardnpsmoodstavce"/>
    <w:link w:val="Zhlav"/>
    <w:uiPriority w:val="99"/>
    <w:rsid w:val="00186154"/>
  </w:style>
  <w:style w:type="paragraph" w:styleId="Textbubliny">
    <w:name w:val="Balloon Text"/>
    <w:basedOn w:val="Normln"/>
    <w:link w:val="TextbublinyChar"/>
    <w:rsid w:val="00186154"/>
    <w:rPr>
      <w:rFonts w:ascii="Tahoma" w:hAnsi="Tahoma" w:cs="Tahoma"/>
      <w:sz w:val="16"/>
      <w:szCs w:val="16"/>
    </w:rPr>
  </w:style>
  <w:style w:type="character" w:customStyle="1" w:styleId="TextbublinyChar">
    <w:name w:val="Text bubliny Char"/>
    <w:basedOn w:val="Standardnpsmoodstavce"/>
    <w:link w:val="Textbubliny"/>
    <w:rsid w:val="00186154"/>
    <w:rPr>
      <w:rFonts w:ascii="Tahoma" w:hAnsi="Tahoma" w:cs="Tahoma"/>
      <w:sz w:val="16"/>
      <w:szCs w:val="16"/>
    </w:rPr>
  </w:style>
  <w:style w:type="paragraph" w:customStyle="1" w:styleId="Vrazn">
    <w:name w:val="Výrazný"/>
    <w:qFormat/>
    <w:rsid w:val="00A522AD"/>
    <w:pPr>
      <w:spacing w:before="60" w:after="60" w:line="276" w:lineRule="auto"/>
      <w:contextualSpacing/>
      <w:jc w:val="both"/>
    </w:pPr>
    <w:rPr>
      <w:rFonts w:ascii="Verdana" w:eastAsia="Batang" w:hAnsi="Verdana" w:cstheme="minorBidi"/>
      <w:b/>
      <w:lang w:eastAsia="en-US"/>
    </w:rPr>
  </w:style>
  <w:style w:type="character" w:customStyle="1" w:styleId="xsptextcomputedfield">
    <w:name w:val="xsptextcomputedfield"/>
    <w:basedOn w:val="Standardnpsmoodstavce"/>
    <w:rsid w:val="00E9164F"/>
  </w:style>
  <w:style w:type="paragraph" w:customStyle="1" w:styleId="Textodstavce">
    <w:name w:val="Text odstavce"/>
    <w:basedOn w:val="Normln"/>
    <w:link w:val="TextodstavceChar"/>
    <w:rsid w:val="00F93FDD"/>
    <w:pPr>
      <w:numPr>
        <w:numId w:val="19"/>
      </w:numPr>
      <w:tabs>
        <w:tab w:val="left" w:pos="851"/>
      </w:tabs>
      <w:spacing w:before="120" w:after="120"/>
      <w:jc w:val="both"/>
      <w:outlineLvl w:val="6"/>
    </w:pPr>
    <w:rPr>
      <w:sz w:val="24"/>
    </w:rPr>
  </w:style>
  <w:style w:type="character" w:customStyle="1" w:styleId="TextodstavceChar">
    <w:name w:val="Text odstavce Char"/>
    <w:link w:val="Textodstavce"/>
    <w:rsid w:val="00F93FDD"/>
    <w:rPr>
      <w:sz w:val="24"/>
    </w:rPr>
  </w:style>
  <w:style w:type="paragraph" w:customStyle="1" w:styleId="Novelizanbod">
    <w:name w:val="Novelizační bod"/>
    <w:basedOn w:val="Normln"/>
    <w:next w:val="Normln"/>
    <w:link w:val="NovelizanbodChar"/>
    <w:rsid w:val="00F93FDD"/>
    <w:pPr>
      <w:keepNext/>
      <w:keepLines/>
      <w:numPr>
        <w:numId w:val="18"/>
      </w:numPr>
      <w:tabs>
        <w:tab w:val="left" w:pos="851"/>
      </w:tabs>
      <w:spacing w:before="480" w:after="120"/>
      <w:jc w:val="both"/>
    </w:pPr>
    <w:rPr>
      <w:sz w:val="24"/>
    </w:rPr>
  </w:style>
  <w:style w:type="character" w:customStyle="1" w:styleId="NovelizanbodChar">
    <w:name w:val="Novelizační bod Char"/>
    <w:link w:val="Novelizanbod"/>
    <w:rsid w:val="00F93FDD"/>
    <w:rPr>
      <w:sz w:val="24"/>
    </w:rPr>
  </w:style>
  <w:style w:type="paragraph" w:customStyle="1" w:styleId="Textbodu">
    <w:name w:val="Text bodu"/>
    <w:basedOn w:val="Normln"/>
    <w:rsid w:val="00F93FDD"/>
    <w:pPr>
      <w:numPr>
        <w:ilvl w:val="2"/>
        <w:numId w:val="19"/>
      </w:numPr>
      <w:jc w:val="both"/>
      <w:outlineLvl w:val="8"/>
    </w:pPr>
    <w:rPr>
      <w:sz w:val="24"/>
    </w:rPr>
  </w:style>
  <w:style w:type="paragraph" w:customStyle="1" w:styleId="Textpsmene">
    <w:name w:val="Text písmene"/>
    <w:basedOn w:val="Normln"/>
    <w:rsid w:val="00F93FDD"/>
    <w:pPr>
      <w:numPr>
        <w:ilvl w:val="1"/>
        <w:numId w:val="19"/>
      </w:numPr>
      <w:jc w:val="both"/>
      <w:outlineLvl w:val="7"/>
    </w:pPr>
    <w:rPr>
      <w:sz w:val="24"/>
    </w:rPr>
  </w:style>
  <w:style w:type="paragraph" w:customStyle="1" w:styleId="psmeno">
    <w:name w:val="písmeno"/>
    <w:basedOn w:val="slovanseznam"/>
    <w:rsid w:val="007E6F2F"/>
    <w:pPr>
      <w:tabs>
        <w:tab w:val="clear" w:pos="782"/>
        <w:tab w:val="left" w:pos="357"/>
      </w:tabs>
      <w:ind w:left="357" w:hanging="357"/>
      <w:contextualSpacing w:val="0"/>
      <w:jc w:val="both"/>
    </w:pPr>
    <w:rPr>
      <w:noProof/>
      <w:sz w:val="24"/>
      <w:szCs w:val="24"/>
      <w:lang w:val="en-US"/>
    </w:rPr>
  </w:style>
  <w:style w:type="paragraph" w:styleId="slovanseznam">
    <w:name w:val="List Number"/>
    <w:basedOn w:val="Normln"/>
    <w:rsid w:val="007E6F2F"/>
    <w:pPr>
      <w:tabs>
        <w:tab w:val="num" w:pos="782"/>
      </w:tabs>
      <w:ind w:firstLine="425"/>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56608">
      <w:bodyDiv w:val="1"/>
      <w:marLeft w:val="0"/>
      <w:marRight w:val="0"/>
      <w:marTop w:val="0"/>
      <w:marBottom w:val="0"/>
      <w:divBdr>
        <w:top w:val="none" w:sz="0" w:space="0" w:color="auto"/>
        <w:left w:val="none" w:sz="0" w:space="0" w:color="auto"/>
        <w:bottom w:val="none" w:sz="0" w:space="0" w:color="auto"/>
        <w:right w:val="none" w:sz="0" w:space="0" w:color="auto"/>
      </w:divBdr>
    </w:div>
    <w:div w:id="1223101817">
      <w:bodyDiv w:val="1"/>
      <w:marLeft w:val="0"/>
      <w:marRight w:val="0"/>
      <w:marTop w:val="0"/>
      <w:marBottom w:val="0"/>
      <w:divBdr>
        <w:top w:val="none" w:sz="0" w:space="0" w:color="auto"/>
        <w:left w:val="none" w:sz="0" w:space="0" w:color="auto"/>
        <w:bottom w:val="none" w:sz="0" w:space="0" w:color="auto"/>
        <w:right w:val="none" w:sz="0" w:space="0" w:color="auto"/>
      </w:divBdr>
    </w:div>
    <w:div w:id="1477139718">
      <w:bodyDiv w:val="1"/>
      <w:marLeft w:val="0"/>
      <w:marRight w:val="0"/>
      <w:marTop w:val="0"/>
      <w:marBottom w:val="0"/>
      <w:divBdr>
        <w:top w:val="none" w:sz="0" w:space="0" w:color="auto"/>
        <w:left w:val="none" w:sz="0" w:space="0" w:color="auto"/>
        <w:bottom w:val="none" w:sz="0" w:space="0" w:color="auto"/>
        <w:right w:val="none" w:sz="0" w:space="0" w:color="auto"/>
      </w:divBdr>
    </w:div>
    <w:div w:id="1713456358">
      <w:bodyDiv w:val="1"/>
      <w:marLeft w:val="0"/>
      <w:marRight w:val="0"/>
      <w:marTop w:val="0"/>
      <w:marBottom w:val="0"/>
      <w:divBdr>
        <w:top w:val="none" w:sz="0" w:space="0" w:color="auto"/>
        <w:left w:val="none" w:sz="0" w:space="0" w:color="auto"/>
        <w:bottom w:val="none" w:sz="0" w:space="0" w:color="auto"/>
        <w:right w:val="none" w:sz="0" w:space="0" w:color="auto"/>
      </w:divBdr>
    </w:div>
    <w:div w:id="1916016721">
      <w:bodyDiv w:val="1"/>
      <w:marLeft w:val="0"/>
      <w:marRight w:val="0"/>
      <w:marTop w:val="0"/>
      <w:marBottom w:val="0"/>
      <w:divBdr>
        <w:top w:val="none" w:sz="0" w:space="0" w:color="auto"/>
        <w:left w:val="none" w:sz="0" w:space="0" w:color="auto"/>
        <w:bottom w:val="none" w:sz="0" w:space="0" w:color="auto"/>
        <w:right w:val="none" w:sz="0" w:space="0" w:color="auto"/>
      </w:divBdr>
      <w:divsChild>
        <w:div w:id="1408264109">
          <w:marLeft w:val="0"/>
          <w:marRight w:val="0"/>
          <w:marTop w:val="0"/>
          <w:marBottom w:val="0"/>
          <w:divBdr>
            <w:top w:val="none" w:sz="0" w:space="0" w:color="auto"/>
            <w:left w:val="none" w:sz="0" w:space="0" w:color="auto"/>
            <w:bottom w:val="none" w:sz="0" w:space="0" w:color="auto"/>
            <w:right w:val="none" w:sz="0" w:space="0" w:color="auto"/>
          </w:divBdr>
          <w:divsChild>
            <w:div w:id="682167793">
              <w:marLeft w:val="0"/>
              <w:marRight w:val="0"/>
              <w:marTop w:val="0"/>
              <w:marBottom w:val="0"/>
              <w:divBdr>
                <w:top w:val="none" w:sz="0" w:space="0" w:color="auto"/>
                <w:left w:val="none" w:sz="0" w:space="0" w:color="auto"/>
                <w:bottom w:val="none" w:sz="0" w:space="0" w:color="auto"/>
                <w:right w:val="none" w:sz="0" w:space="0" w:color="auto"/>
              </w:divBdr>
              <w:divsChild>
                <w:div w:id="1344824425">
                  <w:marLeft w:val="0"/>
                  <w:marRight w:val="0"/>
                  <w:marTop w:val="0"/>
                  <w:marBottom w:val="0"/>
                  <w:divBdr>
                    <w:top w:val="none" w:sz="0" w:space="0" w:color="auto"/>
                    <w:left w:val="none" w:sz="0" w:space="0" w:color="auto"/>
                    <w:bottom w:val="none" w:sz="0" w:space="0" w:color="auto"/>
                    <w:right w:val="none" w:sz="0" w:space="0" w:color="auto"/>
                  </w:divBdr>
                  <w:divsChild>
                    <w:div w:id="131488076">
                      <w:marLeft w:val="0"/>
                      <w:marRight w:val="0"/>
                      <w:marTop w:val="0"/>
                      <w:marBottom w:val="0"/>
                      <w:divBdr>
                        <w:top w:val="none" w:sz="0" w:space="0" w:color="auto"/>
                        <w:left w:val="none" w:sz="0" w:space="0" w:color="auto"/>
                        <w:bottom w:val="none" w:sz="0" w:space="0" w:color="auto"/>
                        <w:right w:val="none" w:sz="0" w:space="0" w:color="auto"/>
                      </w:divBdr>
                      <w:divsChild>
                        <w:div w:id="1800803853">
                          <w:marLeft w:val="0"/>
                          <w:marRight w:val="0"/>
                          <w:marTop w:val="0"/>
                          <w:marBottom w:val="0"/>
                          <w:divBdr>
                            <w:top w:val="none" w:sz="0" w:space="0" w:color="auto"/>
                            <w:left w:val="none" w:sz="0" w:space="0" w:color="auto"/>
                            <w:bottom w:val="none" w:sz="0" w:space="0" w:color="auto"/>
                            <w:right w:val="none" w:sz="0" w:space="0" w:color="auto"/>
                          </w:divBdr>
                          <w:divsChild>
                            <w:div w:id="1572929816">
                              <w:marLeft w:val="0"/>
                              <w:marRight w:val="0"/>
                              <w:marTop w:val="115"/>
                              <w:marBottom w:val="0"/>
                              <w:divBdr>
                                <w:top w:val="none" w:sz="0" w:space="0" w:color="auto"/>
                                <w:left w:val="none" w:sz="0" w:space="0" w:color="auto"/>
                                <w:bottom w:val="none" w:sz="0" w:space="0" w:color="auto"/>
                                <w:right w:val="none" w:sz="0" w:space="0" w:color="auto"/>
                              </w:divBdr>
                              <w:divsChild>
                                <w:div w:id="779646823">
                                  <w:marLeft w:val="0"/>
                                  <w:marRight w:val="0"/>
                                  <w:marTop w:val="0"/>
                                  <w:marBottom w:val="0"/>
                                  <w:divBdr>
                                    <w:top w:val="none" w:sz="0" w:space="0" w:color="auto"/>
                                    <w:left w:val="none" w:sz="0" w:space="0" w:color="auto"/>
                                    <w:bottom w:val="none" w:sz="0" w:space="0" w:color="auto"/>
                                    <w:right w:val="none" w:sz="0" w:space="0" w:color="auto"/>
                                  </w:divBdr>
                                  <w:divsChild>
                                    <w:div w:id="301689911">
                                      <w:marLeft w:val="0"/>
                                      <w:marRight w:val="0"/>
                                      <w:marTop w:val="0"/>
                                      <w:marBottom w:val="0"/>
                                      <w:divBdr>
                                        <w:top w:val="none" w:sz="0" w:space="0" w:color="auto"/>
                                        <w:left w:val="none" w:sz="0" w:space="0" w:color="auto"/>
                                        <w:bottom w:val="none" w:sz="0" w:space="0" w:color="auto"/>
                                        <w:right w:val="none" w:sz="0" w:space="0" w:color="auto"/>
                                      </w:divBdr>
                                      <w:divsChild>
                                        <w:div w:id="10879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93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754</Words>
  <Characters>4462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Hlavička dopisního papíru SP ČR</vt:lpstr>
    </vt:vector>
  </TitlesOfParts>
  <Manager>Ing. Zdeněk Liška</Manager>
  <Company>Svaz průmyslu a dopravy ČR</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Hlavička dopisního papíru SP ČR</dc:title>
  <dc:creator>Petra Ježková</dc:creator>
  <cp:lastModifiedBy>Lucka</cp:lastModifiedBy>
  <cp:revision>5</cp:revision>
  <cp:lastPrinted>2015-03-25T07:56:00Z</cp:lastPrinted>
  <dcterms:created xsi:type="dcterms:W3CDTF">2015-04-02T09:05:00Z</dcterms:created>
  <dcterms:modified xsi:type="dcterms:W3CDTF">2015-04-03T14:05:00Z</dcterms:modified>
</cp:coreProperties>
</file>