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E7" w:rsidRPr="00995F3B" w:rsidRDefault="00995F3B" w:rsidP="00C271E7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bookmarkStart w:id="0" w:name="_GoBack"/>
      <w:bookmarkEnd w:id="0"/>
      <w:r w:rsidRPr="00995F3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Shrnutí stanoviska k návrhu státního rozpočtu pro jednání 20.9.2013</w:t>
      </w:r>
    </w:p>
    <w:p w:rsidR="00995F3B" w:rsidRDefault="00995F3B" w:rsidP="00C271E7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95F3B" w:rsidRPr="00C271E7" w:rsidRDefault="00995F3B" w:rsidP="00C271E7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271E7" w:rsidRPr="00C271E7" w:rsidRDefault="00C271E7" w:rsidP="00C271E7">
      <w:pPr>
        <w:spacing w:after="6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Charakteristiky návrhu, koncepční připomínky, situace a způsob projednávání</w:t>
      </w:r>
    </w:p>
    <w:p w:rsid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Rozhodující část rozpočtu je dána, vláda může provádět úpravy pouze v několika oblastech, v podstatě v objemech v řádu jednotek procent celkových výdajů. </w:t>
      </w:r>
    </w:p>
    <w:p w:rsidR="00D959CA" w:rsidRPr="00C271E7" w:rsidRDefault="00D959CA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Předložený návrh řadu posledních úprav po jednání vlády neobsahuje, pouze některé z nich bylo možné ve stanovisku zohlednit. Z tohoto hlediska vyjadřujeme nespokojenost.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Otázkou také zůstává mandát současné vlády - jak nová vláda a poslanecká sněmovna se k těmto dílčím změnám postaví a do jaké míry bude tento návrh akceptovat. 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Chápeme omezení současné vlády, ale nelze zároveň akceptovat zakládání negativních důsledků návrhu rozpočtu.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S vládou uvedenými prioritami souhlasíme, ale kriticky hodnotíme, že návrh nevychází ze šířeji chápané koncepce hospodářské politiky.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Chybí konkrétní vymezení priorit a minimálně popis jejich odrazu ve státním rozpočtu. 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Postrádáme kvantifikaci akcentace investic do vzdělání, vědy, výzkumu a dopravní infrastruktury, kdy například Technologická agentura ČR nedostává potřebné, námi požadované, prostředky.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Dále není jasné, kde v rozpočtu, jakým způsobem a v jaké výši se odrazí plány na záchranu MS kraje.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Vypovídací schopnost dokumentu je oslabena častými změnami návrhu.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Vláda i přes náš požadavek předložila pro jednání tripartity návrh rozpočtu s dokumenty zhruba ve stejné struktuře jako vloni. Tedy bez přehledného shrnutí a vyčíslení všech základních změn, zejména pak těch v souvislosti s kroky hospodářské politiky vlády.</w:t>
      </w:r>
    </w:p>
    <w:p w:rsidR="00C271E7" w:rsidRPr="00C271E7" w:rsidRDefault="00C271E7" w:rsidP="00C271E7">
      <w:pPr>
        <w:spacing w:after="6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Makroekonomická predikce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Makroekonomická predikce předloženého návrhu má do jisté míry určitou „rezervu“ v základním scénáři, když s odhadem tempa růstu reálného HDP 0,8 % patří mezi konzervativnější odhady. Přestože i náš odhad pro příští rok je mírně vyšší (1,2 %), tak vzhledem ke zkušenostem v posledních letech doporučujeme, aby úměrná část rozpočtu (dle našich odhadů cca 4-5 mld. Kč) byla navázána na výsledky, kde v případě naplňování prognózy v první polovině roku 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Vítáme navýšení výše výdajů a deficitu při respektování splnění kritéria 3% deficitu vládního sektoru.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Je nutné upozornit, že současné výhledy jsou postaveny na velmi křehkých základech a předpokladech pokračování trendu snižování záporných hodnot výsledků a postupného dosažení mírně pozitivních meziročních temp růstu produkce a zakázek v ekonomice na počátku příštího roku. Řada problémů a rizik stále vyřešena nebyla a tudíž přetrvávají rizika směrem dolů.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Reálná situace letos prozatím nepovede k oživení investiční aktivity či nárůstu zaměstnanosti. Mírně pozitivní trend tu ale bezpochyby je a naše očekávání o stabilizaci a následném pomalém oživení na přelomu roku zatím neměníme. </w:t>
      </w:r>
    </w:p>
    <w:p w:rsidR="00C271E7" w:rsidRPr="00C271E7" w:rsidRDefault="00C271E7" w:rsidP="00C271E7">
      <w:pPr>
        <w:spacing w:after="6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Fiskální konsolidace a kritérium vládního deficitu (3 % nominálního HDP v daném roce)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Vítáme odložení cíle dosažení vyrovnaného schodku v roce 2016.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Podporujeme cíl mírnější fiskální konsolidace a ozdravení veřejných rozpočtů.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Připomínáme, že působení fiskální politiky není jen o sumách výdajových škrtů, ale i o struktuře, transparentnosti, důvěryhodnosti a udržitelnosti výdajů. </w:t>
      </w:r>
    </w:p>
    <w:p w:rsidR="00C271E7" w:rsidRPr="00C271E7" w:rsidRDefault="00C271E7" w:rsidP="00C271E7">
      <w:pPr>
        <w:spacing w:after="6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Příjmy SR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přes relativně „nepřestřelenou“ makroekonomickou prognózu jsou podle nás odhady některých příjmů již méně opatrné. Například v oblasti spotřebních daní či v oblasti DPPO. 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Vedle zmíněných rizik požadujeme podstatně účinnější politiku na zamezení daňových úniků. </w:t>
      </w:r>
    </w:p>
    <w:p w:rsidR="00C271E7" w:rsidRPr="00C271E7" w:rsidRDefault="00C271E7" w:rsidP="00C271E7">
      <w:pPr>
        <w:spacing w:after="6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Hospodaření státu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Vláda v rámci přípravy rozpočtu rozhodla o zrušení plošného snížení výdajů pro rok 2014 oproti původně schválenému střednědobému plánu s odůvodněním, že nebylo rozhodnuto o konkrétních úsporných opatřeních (zjednodušení agend, zrušení duplicit apod.). Tento argument považujeme za nedostatečný a vláda měla učinit kroky, které by buď konkrétní opatření navrhovaly či v některých kapitolách provést plošné snížení alespoň v omezeném rozsahu, aby byl vytvořen tlak na efektivnost pod zodpovědností příslušného ministra jako manažera resortu. 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I přes snížení položky „Nákup služeb“ z 34,27 mld. Kč(dle návrhu v roce 2013) na 32,745 (návrh 2014, tj. meziroční změna -4,5 %), dochází k navyšování položek jako je „nákup materiálu“ (+22,8 %) či „ostatní nákupy“.</w:t>
      </w:r>
    </w:p>
    <w:p w:rsidR="00C271E7" w:rsidRPr="00C271E7" w:rsidRDefault="00C271E7" w:rsidP="00C271E7">
      <w:pPr>
        <w:spacing w:after="6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Podpora VaVaI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Návrh státního rozpočtu pro rok 2014 přiděluje TA ČR (kapitola 377) přibližně stejné prostředky jako v roce 2013, přestože u všech významných poskytovatelů podpory ve VaVaI se plánuje jejich navýšení v řádech 100 mil Kč. Pro rok 2015 je situace ještě horší, kdy je navrženo dokonce snížení o 90 mil. Kč. Technologická agentura ČR vznikla jako obdoba Grantové agentury ČR (GA ČR) pro aplikovaný výzkum a jejich rozpočet by se měl blížit na stejnou úroveň. V praxi je však rozpočet GA ČR navyšován a rozpětí mezi oběma institucemi se výrazně zvětšuje.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Požadujeme navýšení rozpočtu na podporu nových projektů TA ČR minimálně o 600 mil. Kč pro roky 2014 až 2016. V opačném případě by to bylo po více než deseti letech poprvé, kdy nebudou v daném roce podpořeny žádné nové projekty v aplikovaném technologickém výzkumu. </w:t>
      </w:r>
    </w:p>
    <w:p w:rsidR="00C271E7" w:rsidRPr="00C271E7" w:rsidRDefault="00C271E7" w:rsidP="00C271E7">
      <w:pPr>
        <w:spacing w:after="6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Doprava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rozpočtu nejsou finanční prostředky na převod (odkoupení) budov, které jsou součástí železniční infrastruktury, do vlastnictví SŽDC. 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Výhledy rozpočtů SFDI na roky </w:t>
      </w:r>
      <w:smartTag w:uri="urn:schemas-microsoft-com:office:smarttags" w:element="metricconverter">
        <w:smartTagPr>
          <w:attr w:name="ProductID" w:val="2015 a"/>
        </w:smartTagPr>
        <w:r w:rsidRPr="00C271E7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2015 a</w:t>
        </w:r>
      </w:smartTag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2016 jsou nepřijatelné, neboť v roce 2015 bude chybět 10,6 mld. Kč a v roce 2016 celkem 8,9 mld. Kč na národní spolufinancování programů EU. </w:t>
      </w:r>
    </w:p>
    <w:p w:rsidR="00C271E7" w:rsidRPr="00C271E7" w:rsidRDefault="00C271E7" w:rsidP="00C271E7">
      <w:pPr>
        <w:spacing w:after="6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lastRenderedPageBreak/>
        <w:t>Zvýšení dotace na OZE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Jako důsledek schválené novely zákona č. 165/2012 Sb., o podporovaných zdrojích energie, bude SR zatížen dodatečnými nároky na prostředky, které bude nutno vynaložit na kompenzaci zastropování výše poplatku na obnovitelné zdroje v souladu s touto novelou.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V kapitole MPO v položce „Dotace na obnovitelné zdroje“ je uvedena stále částka 11,7 mld.Kč. Požadujeme vysvětlení, zda zbývající potřebné prostředky jsou uvedeny („skryty“) v položce „Podpora podnikání“ či někde jinde rozpočtu (pokud jinde, tak kde). V položce „Podpora podnikání“ předpokládáme, že navýšení souvisí s OPPI a Programem technologických center a strategických služeb a tudíž nevidíme, kde jsou potřebné prostředky vyčleněny.</w:t>
      </w:r>
    </w:p>
    <w:p w:rsidR="00C271E7" w:rsidRPr="00C271E7" w:rsidRDefault="00C271E7" w:rsidP="00C271E7">
      <w:pPr>
        <w:spacing w:after="6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Trh práce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Výdaje na aktivní politiku zaměstnanosti jsou navrhovány ve výši 3 mld. Kč z národních zdrojů, po zahrnutí předfinancování projektů EU činí celkem 4,6 mld. Kč (z cca 5,436 v roce 2013 na 4,59 mld. Kč, tj. -15,6 %). S ohledem na cca 550 tisíc nezaměstnaných a ambiciosní opatření v oblasti řešení nezaměstnanosti tuto částku považujeme za nedostatečnou. APZ je postavena na zdrojích z ESF a je nutné navýšit národní zdroje na realizaci opatření z národních zdrojů. </w:t>
      </w:r>
    </w:p>
    <w:p w:rsidR="00C271E7" w:rsidRPr="00C271E7" w:rsidRDefault="00C271E7" w:rsidP="00C271E7">
      <w:pPr>
        <w:spacing w:after="6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Strukturální fondy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Existuje zde značná nejistota v částce, kterou se vzhledem k nedostatečné připravenosti či nízké absorpční kapacitě vyčerpat nepodaří (MMR odhaduje za rok 2014 na 11,6 mld. Kč) a jaká bude velikost korekcí udělených EU v roce 2014. </w:t>
      </w:r>
    </w:p>
    <w:p w:rsid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Vzhledem k relativně vysokému podílu výdajů spolufinancovaných z EU a k výši rizika, postrádáme popis kroků k zajištění plného vyčerpání prostředků z rozpočtu EU a jaká jsou rizika nevyčerpání. Upozorňujeme na riziko významné provázanosti investičních výdajů na SF EU, nejen z pohledu rizika nezískání dotací, ale také z pohledu dlouhodobé struktury národních veřejných rozpočtů.</w:t>
      </w:r>
    </w:p>
    <w:p w:rsidR="00D959CA" w:rsidRDefault="00D959CA" w:rsidP="00D959CA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59CA" w:rsidRDefault="00D959CA" w:rsidP="00D959CA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59CA" w:rsidRDefault="00D959CA" w:rsidP="00D959CA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59CA" w:rsidRPr="00C271E7" w:rsidRDefault="00D959CA" w:rsidP="00D959CA">
      <w:pPr>
        <w:spacing w:after="200"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 Praze dne 19.9.2013</w:t>
      </w:r>
    </w:p>
    <w:p w:rsidR="00C271E7" w:rsidRDefault="00C271E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271E7" w:rsidRPr="00C271E7" w:rsidRDefault="00731A41" w:rsidP="00C271E7">
      <w:pPr>
        <w:spacing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 xml:space="preserve">Příloha: </w:t>
      </w:r>
      <w:r w:rsidR="00C271E7" w:rsidRPr="00C271E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Význam průmyslu a podnikatelského prostředí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Současná i budoucí vláda musí reflektovat, kdo je skutečným tvůrcem přidané hodnoty a kdo vytváří práci a platí daně. Vysoký podíl veřejného sektoru vytváří rizika udržitelnosti do budoucna a složitost změn ve společnosti bez sociálních dopadů.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Veřejná správa musí být reformována tak, aby nekladla překážky podnikatelskému prostředí a byla službou pro obyvatele. S tímto přístupem pak musí být také odměňována.</w:t>
      </w:r>
    </w:p>
    <w:p w:rsidR="00C271E7" w:rsidRPr="00C271E7" w:rsidRDefault="00C271E7" w:rsidP="00C271E7">
      <w:pPr>
        <w:numPr>
          <w:ilvl w:val="0"/>
          <w:numId w:val="57"/>
        </w:numPr>
        <w:spacing w:after="200" w:line="276" w:lineRule="auto"/>
        <w:ind w:left="470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sz w:val="22"/>
          <w:szCs w:val="22"/>
          <w:lang w:eastAsia="en-US"/>
        </w:rPr>
        <w:t>Při zohlednění významu podniků a zejména se sektoru průmyslu, je potřeba stanovit priority s ohledem na potřebu kvalifikovaných technicky vzdělaných pracovníků, aplikovaného výzkumu a inovačního potenciálu a kvalitní infrastruktury.</w:t>
      </w:r>
    </w:p>
    <w:p w:rsidR="00C271E7" w:rsidRPr="00C271E7" w:rsidRDefault="00C271E7" w:rsidP="00C271E7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1E7" w:rsidRPr="00C271E7" w:rsidRDefault="00C271E7" w:rsidP="00C271E7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Podíl odvětví na celkové přidané hodnotě (tj. na přidané hodnotě všech odvětví ekonomiky)</w:t>
      </w:r>
    </w:p>
    <w:tbl>
      <w:tblPr>
        <w:tblW w:w="714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910"/>
        <w:gridCol w:w="916"/>
      </w:tblGrid>
      <w:tr w:rsidR="00C271E7" w:rsidRPr="00C271E7" w:rsidTr="00CC68D3">
        <w:trPr>
          <w:trHeight w:val="300"/>
          <w:jc w:val="center"/>
        </w:trPr>
        <w:tc>
          <w:tcPr>
            <w:tcW w:w="5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Odvětví\rok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2012</w:t>
            </w:r>
          </w:p>
        </w:tc>
      </w:tr>
      <w:tr w:rsidR="00C271E7" w:rsidRPr="00C271E7" w:rsidTr="00CC68D3">
        <w:trPr>
          <w:trHeight w:val="300"/>
          <w:jc w:val="center"/>
        </w:trPr>
        <w:tc>
          <w:tcPr>
            <w:tcW w:w="5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Průmysl celkem (BCDE)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30,49%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30,94%</w:t>
            </w:r>
          </w:p>
        </w:tc>
      </w:tr>
      <w:tr w:rsidR="00C271E7" w:rsidRPr="00C271E7" w:rsidTr="00CC68D3">
        <w:trPr>
          <w:trHeight w:val="300"/>
          <w:jc w:val="center"/>
        </w:trPr>
        <w:tc>
          <w:tcPr>
            <w:tcW w:w="5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F Stavebnictví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6,79%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6,33%</w:t>
            </w:r>
          </w:p>
        </w:tc>
      </w:tr>
      <w:tr w:rsidR="00C271E7" w:rsidRPr="00C271E7" w:rsidTr="00CC68D3">
        <w:trPr>
          <w:trHeight w:val="300"/>
          <w:jc w:val="center"/>
        </w:trPr>
        <w:tc>
          <w:tcPr>
            <w:tcW w:w="5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H Doprava a skladování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6,16%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6,20%</w:t>
            </w:r>
          </w:p>
        </w:tc>
      </w:tr>
      <w:tr w:rsidR="00C271E7" w:rsidRPr="00C271E7" w:rsidTr="00CC68D3">
        <w:trPr>
          <w:trHeight w:val="300"/>
          <w:jc w:val="center"/>
        </w:trPr>
        <w:tc>
          <w:tcPr>
            <w:tcW w:w="5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Průmysl + stavebnictví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37,28%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37,27%</w:t>
            </w:r>
          </w:p>
        </w:tc>
      </w:tr>
      <w:tr w:rsidR="00C271E7" w:rsidRPr="00C271E7" w:rsidTr="00CC68D3">
        <w:trPr>
          <w:trHeight w:val="300"/>
          <w:jc w:val="center"/>
        </w:trPr>
        <w:tc>
          <w:tcPr>
            <w:tcW w:w="5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Průmysl + doprava a skladování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36,65%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37,14%</w:t>
            </w:r>
          </w:p>
        </w:tc>
      </w:tr>
      <w:tr w:rsidR="00C271E7" w:rsidRPr="00C271E7" w:rsidTr="00CC68D3">
        <w:trPr>
          <w:trHeight w:val="315"/>
          <w:jc w:val="center"/>
        </w:trPr>
        <w:tc>
          <w:tcPr>
            <w:tcW w:w="5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Průmysl+stavebnictví+doprava a skladování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43,44%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C271E7" w:rsidRPr="00C271E7" w:rsidRDefault="00C271E7" w:rsidP="00CC68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1E7">
              <w:rPr>
                <w:rFonts w:ascii="Calibri" w:hAnsi="Calibri"/>
                <w:color w:val="000000"/>
                <w:sz w:val="22"/>
                <w:szCs w:val="22"/>
              </w:rPr>
              <w:t>43,47%</w:t>
            </w:r>
          </w:p>
        </w:tc>
      </w:tr>
    </w:tbl>
    <w:p w:rsidR="00C271E7" w:rsidRPr="00C271E7" w:rsidRDefault="00C271E7" w:rsidP="00C271E7">
      <w:pPr>
        <w:spacing w:after="200" w:line="276" w:lineRule="auto"/>
        <w:ind w:left="833"/>
        <w:contextualSpacing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Zdroj: vlastní dopočty na základě dat ČSU, 2013</w:t>
      </w:r>
    </w:p>
    <w:p w:rsidR="00C271E7" w:rsidRPr="00C271E7" w:rsidRDefault="00C271E7" w:rsidP="00C271E7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</w:pPr>
      <w:r w:rsidRPr="00C271E7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Vývoj přidané hodnoty průmyslu a všech odvětví v ČR 2001-2012</w:t>
      </w:r>
    </w:p>
    <w:p w:rsidR="00C271E7" w:rsidRPr="00C271E7" w:rsidRDefault="00C271E7" w:rsidP="00C271E7">
      <w:pPr>
        <w:spacing w:line="276" w:lineRule="auto"/>
        <w:ind w:left="11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984577" cy="2036618"/>
            <wp:effectExtent l="19050" t="0" r="25573" b="1732"/>
            <wp:docPr id="4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71E7" w:rsidRPr="00C271E7" w:rsidRDefault="00C271E7" w:rsidP="00C271E7">
      <w:pPr>
        <w:spacing w:after="200" w:line="276" w:lineRule="auto"/>
        <w:ind w:left="833"/>
        <w:contextualSpacing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C271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Zdroj: vlastní dopočty a graf na základě dat ČSU, 2013</w:t>
      </w:r>
    </w:p>
    <w:p w:rsidR="00C271E7" w:rsidRPr="00C271E7" w:rsidRDefault="00C271E7" w:rsidP="00C271E7">
      <w:pPr>
        <w:spacing w:line="276" w:lineRule="auto"/>
        <w:ind w:left="11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1E7" w:rsidRPr="00C271E7" w:rsidRDefault="00C271E7" w:rsidP="00C271E7">
      <w:pPr>
        <w:spacing w:line="276" w:lineRule="auto"/>
        <w:ind w:left="11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1E7" w:rsidRPr="00C271E7" w:rsidRDefault="00C271E7" w:rsidP="00C271E7">
      <w:pPr>
        <w:spacing w:line="276" w:lineRule="auto"/>
        <w:ind w:left="11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1E7" w:rsidRPr="00C271E7" w:rsidRDefault="00C271E7" w:rsidP="00C271E7">
      <w:pPr>
        <w:spacing w:line="276" w:lineRule="auto"/>
        <w:ind w:left="11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1E7" w:rsidRPr="00C271E7" w:rsidRDefault="00C271E7" w:rsidP="00C271E7">
      <w:pPr>
        <w:spacing w:line="276" w:lineRule="auto"/>
        <w:ind w:left="11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1E7" w:rsidRPr="00C271E7" w:rsidRDefault="00C271E7" w:rsidP="00C271E7">
      <w:pPr>
        <w:spacing w:line="276" w:lineRule="auto"/>
        <w:ind w:left="11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1E7" w:rsidRPr="00C271E7" w:rsidRDefault="00C271E7" w:rsidP="00C271E7">
      <w:pPr>
        <w:spacing w:line="276" w:lineRule="auto"/>
        <w:ind w:left="11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1E7" w:rsidRPr="00C271E7" w:rsidRDefault="00C271E7" w:rsidP="00C271E7">
      <w:pPr>
        <w:spacing w:line="276" w:lineRule="auto"/>
        <w:ind w:left="11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20C0" w:rsidRPr="00C271E7" w:rsidRDefault="004320C0" w:rsidP="00C271E7">
      <w:pPr>
        <w:tabs>
          <w:tab w:val="left" w:pos="142"/>
        </w:tabs>
        <w:rPr>
          <w:szCs w:val="24"/>
        </w:rPr>
      </w:pPr>
    </w:p>
    <w:sectPr w:rsidR="004320C0" w:rsidRPr="00C271E7" w:rsidSect="00F00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567" w:left="1418" w:header="99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78" w:rsidRDefault="00D72578">
      <w:r>
        <w:separator/>
      </w:r>
    </w:p>
  </w:endnote>
  <w:endnote w:type="continuationSeparator" w:id="0">
    <w:p w:rsidR="00D72578" w:rsidRDefault="00D7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D" w:rsidRDefault="008D6D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D" w:rsidRDefault="008D6DDD" w:rsidP="00587D54">
    <w:pPr>
      <w:pStyle w:val="Zpat"/>
      <w:tabs>
        <w:tab w:val="left" w:pos="6804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noProof/>
        <w:color w:val="005FA4"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130810</wp:posOffset>
          </wp:positionV>
          <wp:extent cx="1543685" cy="373380"/>
          <wp:effectExtent l="1905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G Omega" w:hAnsi="CG Omega"/>
        <w:noProof/>
        <w:color w:val="005FA4"/>
        <w:sz w:val="16"/>
      </w:rPr>
      <w:t>Freyova 948/11, 190 00</w:t>
    </w:r>
    <w:r w:rsidRPr="00B94002">
      <w:rPr>
        <w:rFonts w:ascii="CG Omega" w:hAnsi="CG Omega"/>
        <w:noProof/>
        <w:color w:val="005FA4"/>
        <w:sz w:val="16"/>
      </w:rPr>
      <w:t xml:space="preserve">  Praha 9</w:t>
    </w:r>
    <w:r>
      <w:rPr>
        <w:rFonts w:ascii="CG Omega" w:hAnsi="CG Omega"/>
        <w:color w:val="005FA4"/>
        <w:sz w:val="16"/>
      </w:rPr>
      <w:tab/>
    </w:r>
    <w:r>
      <w:rPr>
        <w:rFonts w:ascii="CG Omega" w:hAnsi="CG Omega"/>
        <w:color w:val="005FA4"/>
        <w:sz w:val="16"/>
      </w:rPr>
      <w:tab/>
      <w:t>Member of</w:t>
    </w:r>
  </w:p>
  <w:p w:rsidR="008D6DDD" w:rsidRDefault="008D6DDD" w:rsidP="00B94002">
    <w:pPr>
      <w:pStyle w:val="Zpat"/>
      <w:tabs>
        <w:tab w:val="left" w:pos="6663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color w:val="005FA4"/>
        <w:sz w:val="16"/>
      </w:rPr>
      <w:t>Tel.: +420 225 279 111, Fax: +420 225 279 100</w:t>
    </w:r>
  </w:p>
  <w:p w:rsidR="008D6DDD" w:rsidRPr="00587D54" w:rsidRDefault="008D6DDD" w:rsidP="00587D54">
    <w:pPr>
      <w:pStyle w:val="Zpat"/>
      <w:tabs>
        <w:tab w:val="left" w:pos="6663"/>
      </w:tabs>
      <w:spacing w:line="240" w:lineRule="atLeast"/>
    </w:pPr>
    <w:r>
      <w:rPr>
        <w:rFonts w:ascii="CG Omega" w:hAnsi="CG Omega"/>
        <w:color w:val="005FA4"/>
        <w:sz w:val="16"/>
      </w:rPr>
      <w:t>e-mail: spcr</w:t>
    </w:r>
    <w:r w:rsidRPr="001F5E2B">
      <w:rPr>
        <w:rFonts w:ascii="CG Omega" w:hAnsi="CG Omega"/>
        <w:color w:val="005FA4"/>
        <w:sz w:val="16"/>
      </w:rPr>
      <w:t>@spcr.cz</w:t>
    </w:r>
    <w:r>
      <w:rPr>
        <w:rFonts w:ascii="CG Omega" w:hAnsi="CG Omega"/>
        <w:color w:val="005FA4"/>
        <w:sz w:val="16"/>
      </w:rPr>
      <w:t xml:space="preserve">, </w:t>
    </w:r>
    <w:r w:rsidRPr="001F5E2B">
      <w:rPr>
        <w:rFonts w:ascii="CG Omega" w:hAnsi="CG Omega"/>
        <w:color w:val="005FA4"/>
        <w:sz w:val="16"/>
      </w:rPr>
      <w:t>www.spcr.cz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D" w:rsidRDefault="008D6D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78" w:rsidRDefault="00D72578">
      <w:r>
        <w:separator/>
      </w:r>
    </w:p>
  </w:footnote>
  <w:footnote w:type="continuationSeparator" w:id="0">
    <w:p w:rsidR="00D72578" w:rsidRDefault="00D7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D" w:rsidRDefault="008D6D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D" w:rsidRPr="00EF65E4" w:rsidRDefault="008D6DDD" w:rsidP="00EF65E4">
    <w:pPr>
      <w:pStyle w:val="Zhlav"/>
      <w:tabs>
        <w:tab w:val="clear" w:pos="4536"/>
        <w:tab w:val="left" w:pos="1134"/>
        <w:tab w:val="left" w:pos="6663"/>
      </w:tabs>
      <w:rPr>
        <w:rFonts w:ascii="CG Omega" w:hAnsi="CG Omega" w:cs="Raavi"/>
        <w:color w:val="005FA4"/>
        <w:sz w:val="24"/>
        <w:szCs w:val="24"/>
      </w:rPr>
    </w:pPr>
    <w:r>
      <w:rPr>
        <w:rFonts w:ascii="CG Omega" w:hAnsi="CG Omega" w:cs="Raavi"/>
        <w:noProof/>
        <w:color w:val="005FA4"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28575</wp:posOffset>
          </wp:positionV>
          <wp:extent cx="626110" cy="464820"/>
          <wp:effectExtent l="19050" t="0" r="2540" b="0"/>
          <wp:wrapNone/>
          <wp:docPr id="2" name="obrázek 2" descr="sp2005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2005mod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G Omega" w:hAnsi="CG Omega" w:cs="Raavi"/>
        <w:color w:val="005FA4"/>
        <w:sz w:val="24"/>
        <w:szCs w:val="24"/>
      </w:rPr>
      <w:tab/>
    </w:r>
    <w:r w:rsidRPr="00EF65E4">
      <w:rPr>
        <w:rFonts w:ascii="CG Omega" w:hAnsi="CG Omega" w:cs="Raavi"/>
        <w:color w:val="005FA4"/>
        <w:sz w:val="24"/>
        <w:szCs w:val="24"/>
      </w:rPr>
      <w:t>Svaz průmyslu a dopravy České republiky</w:t>
    </w:r>
  </w:p>
  <w:p w:rsidR="008D6DDD" w:rsidRPr="00EF65E4" w:rsidRDefault="008D6DDD" w:rsidP="00EF65E4">
    <w:pPr>
      <w:pStyle w:val="Zhlav"/>
      <w:tabs>
        <w:tab w:val="clear" w:pos="4536"/>
        <w:tab w:val="left" w:pos="1134"/>
        <w:tab w:val="left" w:pos="6663"/>
      </w:tabs>
      <w:ind w:firstLine="1134"/>
      <w:rPr>
        <w:rFonts w:ascii="CG Omega" w:hAnsi="CG Omega" w:cs="Raavi"/>
        <w:color w:val="005FA4"/>
        <w:sz w:val="24"/>
        <w:szCs w:val="24"/>
      </w:rPr>
    </w:pPr>
    <w:r w:rsidRPr="00EF65E4">
      <w:rPr>
        <w:rFonts w:ascii="CG Omega" w:hAnsi="CG Omega" w:cs="Raavi"/>
        <w:color w:val="005FA4"/>
        <w:sz w:val="24"/>
        <w:szCs w:val="24"/>
      </w:rPr>
      <w:t>Confederation of Industry of the Czech Republic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D" w:rsidRDefault="008D6D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C06"/>
    <w:multiLevelType w:val="hybridMultilevel"/>
    <w:tmpl w:val="D77C37C2"/>
    <w:lvl w:ilvl="0" w:tplc="1FC072A0">
      <w:start w:val="1"/>
      <w:numFmt w:val="bullet"/>
      <w:lvlText w:val=""/>
      <w:lvlJc w:val="left"/>
      <w:pPr>
        <w:ind w:left="1440" w:hanging="360"/>
      </w:pPr>
      <w:rPr>
        <w:rFonts w:ascii="Wingdings" w:eastAsiaTheme="majorEastAs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41073"/>
    <w:multiLevelType w:val="hybridMultilevel"/>
    <w:tmpl w:val="41967E0A"/>
    <w:lvl w:ilvl="0" w:tplc="2D70AC0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D91785"/>
    <w:multiLevelType w:val="hybridMultilevel"/>
    <w:tmpl w:val="8B8C1200"/>
    <w:lvl w:ilvl="0" w:tplc="737E2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1073"/>
    <w:multiLevelType w:val="hybridMultilevel"/>
    <w:tmpl w:val="71B22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D1078"/>
    <w:multiLevelType w:val="hybridMultilevel"/>
    <w:tmpl w:val="6EC61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002D5"/>
    <w:multiLevelType w:val="hybridMultilevel"/>
    <w:tmpl w:val="A46E7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D17A4"/>
    <w:multiLevelType w:val="hybridMultilevel"/>
    <w:tmpl w:val="4BF43FF2"/>
    <w:lvl w:ilvl="0" w:tplc="04050003">
      <w:start w:val="1"/>
      <w:numFmt w:val="bullet"/>
      <w:lvlText w:val="o"/>
      <w:lvlJc w:val="left"/>
      <w:pPr>
        <w:ind w:left="247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967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7">
    <w:nsid w:val="11BD35E9"/>
    <w:multiLevelType w:val="hybridMultilevel"/>
    <w:tmpl w:val="1E286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C14CB"/>
    <w:multiLevelType w:val="hybridMultilevel"/>
    <w:tmpl w:val="1E96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95173"/>
    <w:multiLevelType w:val="hybridMultilevel"/>
    <w:tmpl w:val="D0445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27892"/>
    <w:multiLevelType w:val="hybridMultilevel"/>
    <w:tmpl w:val="DA384802"/>
    <w:lvl w:ilvl="0" w:tplc="8312B98E">
      <w:start w:val="1"/>
      <w:numFmt w:val="decimal"/>
      <w:lvlText w:val="%1."/>
      <w:lvlJc w:val="left"/>
      <w:pPr>
        <w:ind w:left="720" w:hanging="360"/>
      </w:pPr>
      <w:rPr>
        <w:rFonts w:cs="Arial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</w:abstractNum>
  <w:abstractNum w:abstractNumId="12">
    <w:nsid w:val="1C190EF3"/>
    <w:multiLevelType w:val="hybridMultilevel"/>
    <w:tmpl w:val="BF58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A71DD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DF74F48"/>
    <w:multiLevelType w:val="hybridMultilevel"/>
    <w:tmpl w:val="7DC093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2C592B"/>
    <w:multiLevelType w:val="hybridMultilevel"/>
    <w:tmpl w:val="23F6D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C28BD"/>
    <w:multiLevelType w:val="hybridMultilevel"/>
    <w:tmpl w:val="5ED441A0"/>
    <w:lvl w:ilvl="0" w:tplc="61B6DAE6">
      <w:start w:val="1"/>
      <w:numFmt w:val="bullet"/>
      <w:lvlText w:val=""/>
      <w:lvlJc w:val="left"/>
      <w:pPr>
        <w:ind w:left="1440" w:hanging="360"/>
      </w:pPr>
      <w:rPr>
        <w:rFonts w:ascii="Wingdings" w:eastAsiaTheme="majorEastAs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56260D"/>
    <w:multiLevelType w:val="hybridMultilevel"/>
    <w:tmpl w:val="126E77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1B06AA"/>
    <w:multiLevelType w:val="hybridMultilevel"/>
    <w:tmpl w:val="A12C8706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6315199"/>
    <w:multiLevelType w:val="hybridMultilevel"/>
    <w:tmpl w:val="BF58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82BB0"/>
    <w:multiLevelType w:val="hybridMultilevel"/>
    <w:tmpl w:val="6F98B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3D1956"/>
    <w:multiLevelType w:val="hybridMultilevel"/>
    <w:tmpl w:val="2E18C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02D89"/>
    <w:multiLevelType w:val="hybridMultilevel"/>
    <w:tmpl w:val="BF58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5535D"/>
    <w:multiLevelType w:val="hybridMultilevel"/>
    <w:tmpl w:val="BF58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943B5C"/>
    <w:multiLevelType w:val="hybridMultilevel"/>
    <w:tmpl w:val="BF58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923BEE"/>
    <w:multiLevelType w:val="hybridMultilevel"/>
    <w:tmpl w:val="9C724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652DF6"/>
    <w:multiLevelType w:val="hybridMultilevel"/>
    <w:tmpl w:val="BF58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810F9F"/>
    <w:multiLevelType w:val="hybridMultilevel"/>
    <w:tmpl w:val="E03043D4"/>
    <w:lvl w:ilvl="0" w:tplc="908A9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1E5FF8"/>
    <w:multiLevelType w:val="hybridMultilevel"/>
    <w:tmpl w:val="5DFAD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63A59"/>
    <w:multiLevelType w:val="hybridMultilevel"/>
    <w:tmpl w:val="73B69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0D1F05"/>
    <w:multiLevelType w:val="hybridMultilevel"/>
    <w:tmpl w:val="634A8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A85ADA"/>
    <w:multiLevelType w:val="hybridMultilevel"/>
    <w:tmpl w:val="5030B344"/>
    <w:lvl w:ilvl="0" w:tplc="04050003">
      <w:start w:val="1"/>
      <w:numFmt w:val="bullet"/>
      <w:lvlText w:val="o"/>
      <w:lvlJc w:val="left"/>
      <w:pPr>
        <w:ind w:left="247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967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2">
    <w:nsid w:val="396473C8"/>
    <w:multiLevelType w:val="hybridMultilevel"/>
    <w:tmpl w:val="450441C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9830AD0"/>
    <w:multiLevelType w:val="hybridMultilevel"/>
    <w:tmpl w:val="96FA7CA2"/>
    <w:lvl w:ilvl="0" w:tplc="43F0AF74">
      <w:numFmt w:val="bullet"/>
      <w:lvlText w:val="•"/>
      <w:lvlJc w:val="left"/>
      <w:pPr>
        <w:ind w:left="781" w:hanging="705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3F1304A6"/>
    <w:multiLevelType w:val="hybridMultilevel"/>
    <w:tmpl w:val="22406C6A"/>
    <w:lvl w:ilvl="0" w:tplc="04050003">
      <w:start w:val="1"/>
      <w:numFmt w:val="bullet"/>
      <w:lvlText w:val="o"/>
      <w:lvlJc w:val="left"/>
      <w:pPr>
        <w:ind w:left="247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967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5">
    <w:nsid w:val="408456CB"/>
    <w:multiLevelType w:val="hybridMultilevel"/>
    <w:tmpl w:val="E3E4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4D4581"/>
    <w:multiLevelType w:val="hybridMultilevel"/>
    <w:tmpl w:val="44A24B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F7036"/>
    <w:multiLevelType w:val="hybridMultilevel"/>
    <w:tmpl w:val="116246A4"/>
    <w:lvl w:ilvl="0" w:tplc="0405000B">
      <w:start w:val="1"/>
      <w:numFmt w:val="bullet"/>
      <w:lvlText w:val=""/>
      <w:lvlJc w:val="left"/>
      <w:pPr>
        <w:ind w:left="24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8">
    <w:nsid w:val="46573FF2"/>
    <w:multiLevelType w:val="hybridMultilevel"/>
    <w:tmpl w:val="BF58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D6606C"/>
    <w:multiLevelType w:val="hybridMultilevel"/>
    <w:tmpl w:val="87F2E7BA"/>
    <w:lvl w:ilvl="0" w:tplc="23C0D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0958D6"/>
    <w:multiLevelType w:val="hybridMultilevel"/>
    <w:tmpl w:val="BF58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8617DD"/>
    <w:multiLevelType w:val="multilevel"/>
    <w:tmpl w:val="0405001D"/>
    <w:numStyleLink w:val="Styl1"/>
  </w:abstractNum>
  <w:abstractNum w:abstractNumId="42">
    <w:nsid w:val="57186B4F"/>
    <w:multiLevelType w:val="hybridMultilevel"/>
    <w:tmpl w:val="AD7E67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9B761F"/>
    <w:multiLevelType w:val="hybridMultilevel"/>
    <w:tmpl w:val="B3E86E32"/>
    <w:lvl w:ilvl="0" w:tplc="317AA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175DA1"/>
    <w:multiLevelType w:val="hybridMultilevel"/>
    <w:tmpl w:val="A5C88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36020F"/>
    <w:multiLevelType w:val="hybridMultilevel"/>
    <w:tmpl w:val="FB30EDD2"/>
    <w:lvl w:ilvl="0" w:tplc="ABAC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1601FF"/>
    <w:multiLevelType w:val="hybridMultilevel"/>
    <w:tmpl w:val="44A24B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431582"/>
    <w:multiLevelType w:val="hybridMultilevel"/>
    <w:tmpl w:val="C3DA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CD7D59"/>
    <w:multiLevelType w:val="hybridMultilevel"/>
    <w:tmpl w:val="3B6E5DBE"/>
    <w:lvl w:ilvl="0" w:tplc="1FC072A0">
      <w:start w:val="1"/>
      <w:numFmt w:val="bullet"/>
      <w:lvlText w:val=""/>
      <w:lvlJc w:val="left"/>
      <w:pPr>
        <w:ind w:left="144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1A713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628438F4"/>
    <w:multiLevelType w:val="hybridMultilevel"/>
    <w:tmpl w:val="68BA182C"/>
    <w:lvl w:ilvl="0" w:tplc="3B9C55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A36620F"/>
    <w:multiLevelType w:val="hybridMultilevel"/>
    <w:tmpl w:val="BF58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656980"/>
    <w:multiLevelType w:val="hybridMultilevel"/>
    <w:tmpl w:val="58007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F57F53"/>
    <w:multiLevelType w:val="hybridMultilevel"/>
    <w:tmpl w:val="9D122172"/>
    <w:lvl w:ilvl="0" w:tplc="56C076A8">
      <w:start w:val="1"/>
      <w:numFmt w:val="bullet"/>
      <w:lvlText w:val=""/>
      <w:lvlJc w:val="left"/>
      <w:pPr>
        <w:ind w:left="1440" w:hanging="360"/>
      </w:pPr>
      <w:rPr>
        <w:rFonts w:ascii="Wingdings" w:eastAsiaTheme="majorEastAsia" w:hAnsi="Wingdings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DBA55F5"/>
    <w:multiLevelType w:val="hybridMultilevel"/>
    <w:tmpl w:val="9D8A3164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F5A1069"/>
    <w:multiLevelType w:val="hybridMultilevel"/>
    <w:tmpl w:val="BF58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6E161E"/>
    <w:multiLevelType w:val="multilevel"/>
    <w:tmpl w:val="0409001D"/>
    <w:styleLink w:val="Style1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7C842562"/>
    <w:multiLevelType w:val="hybridMultilevel"/>
    <w:tmpl w:val="CF8264B4"/>
    <w:lvl w:ilvl="0" w:tplc="04050003">
      <w:start w:val="1"/>
      <w:numFmt w:val="bullet"/>
      <w:lvlText w:val="o"/>
      <w:lvlJc w:val="left"/>
      <w:pPr>
        <w:ind w:left="2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58">
    <w:nsid w:val="7DAB6F0F"/>
    <w:multiLevelType w:val="multilevel"/>
    <w:tmpl w:val="0409001D"/>
    <w:numStyleLink w:val="Style1"/>
  </w:abstractNum>
  <w:abstractNum w:abstractNumId="59">
    <w:nsid w:val="7F4E1CDF"/>
    <w:multiLevelType w:val="hybridMultilevel"/>
    <w:tmpl w:val="31447F10"/>
    <w:lvl w:ilvl="0" w:tplc="F886B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E954E7"/>
    <w:multiLevelType w:val="hybridMultilevel"/>
    <w:tmpl w:val="D1A8A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"/>
  </w:num>
  <w:num w:numId="3">
    <w:abstractNumId w:val="59"/>
  </w:num>
  <w:num w:numId="4">
    <w:abstractNumId w:val="15"/>
  </w:num>
  <w:num w:numId="5">
    <w:abstractNumId w:val="7"/>
  </w:num>
  <w:num w:numId="6">
    <w:abstractNumId w:val="43"/>
  </w:num>
  <w:num w:numId="7">
    <w:abstractNumId w:val="5"/>
  </w:num>
  <w:num w:numId="8">
    <w:abstractNumId w:val="14"/>
  </w:num>
  <w:num w:numId="9">
    <w:abstractNumId w:val="33"/>
  </w:num>
  <w:num w:numId="10">
    <w:abstractNumId w:val="35"/>
  </w:num>
  <w:num w:numId="11">
    <w:abstractNumId w:val="18"/>
  </w:num>
  <w:num w:numId="12">
    <w:abstractNumId w:val="9"/>
  </w:num>
  <w:num w:numId="13">
    <w:abstractNumId w:val="39"/>
  </w:num>
  <w:num w:numId="14">
    <w:abstractNumId w:val="52"/>
  </w:num>
  <w:num w:numId="15">
    <w:abstractNumId w:val="2"/>
  </w:num>
  <w:num w:numId="16">
    <w:abstractNumId w:val="54"/>
  </w:num>
  <w:num w:numId="17">
    <w:abstractNumId w:val="17"/>
  </w:num>
  <w:num w:numId="18">
    <w:abstractNumId w:val="60"/>
  </w:num>
  <w:num w:numId="19">
    <w:abstractNumId w:val="8"/>
  </w:num>
  <w:num w:numId="20">
    <w:abstractNumId w:val="45"/>
  </w:num>
  <w:num w:numId="21">
    <w:abstractNumId w:val="50"/>
  </w:num>
  <w:num w:numId="22">
    <w:abstractNumId w:val="1"/>
  </w:num>
  <w:num w:numId="23">
    <w:abstractNumId w:val="42"/>
  </w:num>
  <w:num w:numId="24">
    <w:abstractNumId w:val="25"/>
  </w:num>
  <w:num w:numId="25">
    <w:abstractNumId w:val="10"/>
  </w:num>
  <w:num w:numId="26">
    <w:abstractNumId w:val="28"/>
  </w:num>
  <w:num w:numId="27">
    <w:abstractNumId w:val="13"/>
  </w:num>
  <w:num w:numId="28">
    <w:abstractNumId w:val="41"/>
  </w:num>
  <w:num w:numId="29">
    <w:abstractNumId w:val="46"/>
  </w:num>
  <w:num w:numId="30">
    <w:abstractNumId w:val="55"/>
  </w:num>
  <w:num w:numId="31">
    <w:abstractNumId w:val="36"/>
  </w:num>
  <w:num w:numId="32">
    <w:abstractNumId w:val="12"/>
  </w:num>
  <w:num w:numId="33">
    <w:abstractNumId w:val="24"/>
  </w:num>
  <w:num w:numId="34">
    <w:abstractNumId w:val="22"/>
  </w:num>
  <w:num w:numId="35">
    <w:abstractNumId w:val="26"/>
  </w:num>
  <w:num w:numId="36">
    <w:abstractNumId w:val="40"/>
  </w:num>
  <w:num w:numId="37">
    <w:abstractNumId w:val="38"/>
  </w:num>
  <w:num w:numId="38">
    <w:abstractNumId w:val="23"/>
  </w:num>
  <w:num w:numId="39">
    <w:abstractNumId w:val="47"/>
  </w:num>
  <w:num w:numId="40">
    <w:abstractNumId w:val="51"/>
  </w:num>
  <w:num w:numId="41">
    <w:abstractNumId w:val="19"/>
  </w:num>
  <w:num w:numId="42">
    <w:abstractNumId w:val="20"/>
  </w:num>
  <w:num w:numId="43">
    <w:abstractNumId w:val="30"/>
  </w:num>
  <w:num w:numId="44">
    <w:abstractNumId w:val="27"/>
  </w:num>
  <w:num w:numId="45">
    <w:abstractNumId w:val="53"/>
  </w:num>
  <w:num w:numId="46">
    <w:abstractNumId w:val="16"/>
  </w:num>
  <w:num w:numId="47">
    <w:abstractNumId w:val="0"/>
  </w:num>
  <w:num w:numId="48">
    <w:abstractNumId w:val="56"/>
  </w:num>
  <w:num w:numId="49">
    <w:abstractNumId w:val="58"/>
  </w:num>
  <w:num w:numId="50">
    <w:abstractNumId w:val="48"/>
  </w:num>
  <w:num w:numId="51">
    <w:abstractNumId w:val="32"/>
  </w:num>
  <w:num w:numId="52">
    <w:abstractNumId w:val="11"/>
  </w:num>
  <w:num w:numId="53">
    <w:abstractNumId w:val="44"/>
  </w:num>
  <w:num w:numId="54">
    <w:abstractNumId w:val="21"/>
  </w:num>
  <w:num w:numId="55">
    <w:abstractNumId w:val="29"/>
  </w:num>
  <w:num w:numId="56">
    <w:abstractNumId w:val="3"/>
  </w:num>
  <w:num w:numId="57">
    <w:abstractNumId w:val="57"/>
  </w:num>
  <w:num w:numId="58">
    <w:abstractNumId w:val="31"/>
  </w:num>
  <w:num w:numId="59">
    <w:abstractNumId w:val="37"/>
  </w:num>
  <w:num w:numId="60">
    <w:abstractNumId w:val="34"/>
  </w:num>
  <w:num w:numId="6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4"/>
    <w:rsid w:val="00015A35"/>
    <w:rsid w:val="00017299"/>
    <w:rsid w:val="000219A4"/>
    <w:rsid w:val="00021C2F"/>
    <w:rsid w:val="00023CE9"/>
    <w:rsid w:val="00037877"/>
    <w:rsid w:val="00050217"/>
    <w:rsid w:val="000538FC"/>
    <w:rsid w:val="00065012"/>
    <w:rsid w:val="000701BE"/>
    <w:rsid w:val="000B4A7B"/>
    <w:rsid w:val="000B7DB9"/>
    <w:rsid w:val="000C4A33"/>
    <w:rsid w:val="000C6126"/>
    <w:rsid w:val="000E143A"/>
    <w:rsid w:val="000E4004"/>
    <w:rsid w:val="000E5B91"/>
    <w:rsid w:val="000F26E5"/>
    <w:rsid w:val="000F4612"/>
    <w:rsid w:val="001050A4"/>
    <w:rsid w:val="001054D1"/>
    <w:rsid w:val="00106675"/>
    <w:rsid w:val="00112E85"/>
    <w:rsid w:val="001227D9"/>
    <w:rsid w:val="00130D48"/>
    <w:rsid w:val="001378E9"/>
    <w:rsid w:val="00145BC5"/>
    <w:rsid w:val="001463FF"/>
    <w:rsid w:val="00156697"/>
    <w:rsid w:val="00173D1F"/>
    <w:rsid w:val="00177B0F"/>
    <w:rsid w:val="0019279B"/>
    <w:rsid w:val="001A2C52"/>
    <w:rsid w:val="001C002A"/>
    <w:rsid w:val="001C3F11"/>
    <w:rsid w:val="001C722C"/>
    <w:rsid w:val="001D0263"/>
    <w:rsid w:val="001E310E"/>
    <w:rsid w:val="001E6CD7"/>
    <w:rsid w:val="001F50C4"/>
    <w:rsid w:val="001F5E2B"/>
    <w:rsid w:val="002016BE"/>
    <w:rsid w:val="0020289B"/>
    <w:rsid w:val="002433E8"/>
    <w:rsid w:val="002551C2"/>
    <w:rsid w:val="00271CF1"/>
    <w:rsid w:val="00273377"/>
    <w:rsid w:val="002A0C28"/>
    <w:rsid w:val="002A220B"/>
    <w:rsid w:val="002A3D04"/>
    <w:rsid w:val="002A608A"/>
    <w:rsid w:val="002A761C"/>
    <w:rsid w:val="002F7D3B"/>
    <w:rsid w:val="003012DE"/>
    <w:rsid w:val="003134A4"/>
    <w:rsid w:val="00317509"/>
    <w:rsid w:val="00321331"/>
    <w:rsid w:val="003235CC"/>
    <w:rsid w:val="0032636B"/>
    <w:rsid w:val="0033338F"/>
    <w:rsid w:val="0036516B"/>
    <w:rsid w:val="00367D14"/>
    <w:rsid w:val="00374A21"/>
    <w:rsid w:val="00380519"/>
    <w:rsid w:val="0038674E"/>
    <w:rsid w:val="00395336"/>
    <w:rsid w:val="00395BE6"/>
    <w:rsid w:val="00396EF8"/>
    <w:rsid w:val="003A365C"/>
    <w:rsid w:val="003B2382"/>
    <w:rsid w:val="003D36AC"/>
    <w:rsid w:val="003E44AE"/>
    <w:rsid w:val="003F0BF5"/>
    <w:rsid w:val="00404034"/>
    <w:rsid w:val="004124F3"/>
    <w:rsid w:val="00423BD2"/>
    <w:rsid w:val="00425617"/>
    <w:rsid w:val="00430101"/>
    <w:rsid w:val="00430753"/>
    <w:rsid w:val="004320C0"/>
    <w:rsid w:val="004626C4"/>
    <w:rsid w:val="0047565B"/>
    <w:rsid w:val="004841E2"/>
    <w:rsid w:val="0049088B"/>
    <w:rsid w:val="00493269"/>
    <w:rsid w:val="004A072B"/>
    <w:rsid w:val="004A2979"/>
    <w:rsid w:val="004B1F8E"/>
    <w:rsid w:val="004B1FB4"/>
    <w:rsid w:val="004C3388"/>
    <w:rsid w:val="004D7E6A"/>
    <w:rsid w:val="004E22D2"/>
    <w:rsid w:val="004E5059"/>
    <w:rsid w:val="004E5E29"/>
    <w:rsid w:val="00500ABF"/>
    <w:rsid w:val="0050201F"/>
    <w:rsid w:val="00502B84"/>
    <w:rsid w:val="0050763B"/>
    <w:rsid w:val="00507AC8"/>
    <w:rsid w:val="005161BE"/>
    <w:rsid w:val="00517D8E"/>
    <w:rsid w:val="00531375"/>
    <w:rsid w:val="00557627"/>
    <w:rsid w:val="0056247D"/>
    <w:rsid w:val="00580723"/>
    <w:rsid w:val="00587D54"/>
    <w:rsid w:val="00595469"/>
    <w:rsid w:val="005B3710"/>
    <w:rsid w:val="005B52DA"/>
    <w:rsid w:val="005D20DE"/>
    <w:rsid w:val="005D7811"/>
    <w:rsid w:val="005E2D61"/>
    <w:rsid w:val="005F0EF5"/>
    <w:rsid w:val="005F451A"/>
    <w:rsid w:val="006472CD"/>
    <w:rsid w:val="00680397"/>
    <w:rsid w:val="00697F81"/>
    <w:rsid w:val="006A7A3D"/>
    <w:rsid w:val="006C1FDC"/>
    <w:rsid w:val="006C339F"/>
    <w:rsid w:val="006C7651"/>
    <w:rsid w:val="006D1B07"/>
    <w:rsid w:val="006D677E"/>
    <w:rsid w:val="006E14D4"/>
    <w:rsid w:val="00731A41"/>
    <w:rsid w:val="0073233C"/>
    <w:rsid w:val="00743C69"/>
    <w:rsid w:val="007460BB"/>
    <w:rsid w:val="00751DF6"/>
    <w:rsid w:val="0075212F"/>
    <w:rsid w:val="007604C1"/>
    <w:rsid w:val="00780E49"/>
    <w:rsid w:val="007918E2"/>
    <w:rsid w:val="007931E9"/>
    <w:rsid w:val="00796241"/>
    <w:rsid w:val="007A01BB"/>
    <w:rsid w:val="007A697F"/>
    <w:rsid w:val="007D5038"/>
    <w:rsid w:val="007E5B0B"/>
    <w:rsid w:val="007E7C7C"/>
    <w:rsid w:val="007F3509"/>
    <w:rsid w:val="00801A06"/>
    <w:rsid w:val="00804651"/>
    <w:rsid w:val="00835DE1"/>
    <w:rsid w:val="00840C14"/>
    <w:rsid w:val="00841AE1"/>
    <w:rsid w:val="008606EE"/>
    <w:rsid w:val="00863A5F"/>
    <w:rsid w:val="00866E61"/>
    <w:rsid w:val="00890B4B"/>
    <w:rsid w:val="008A3114"/>
    <w:rsid w:val="008A6424"/>
    <w:rsid w:val="008B081E"/>
    <w:rsid w:val="008C1D76"/>
    <w:rsid w:val="008C6730"/>
    <w:rsid w:val="008D6DDD"/>
    <w:rsid w:val="008E41D4"/>
    <w:rsid w:val="008F4056"/>
    <w:rsid w:val="008F4168"/>
    <w:rsid w:val="008F4982"/>
    <w:rsid w:val="00912B1A"/>
    <w:rsid w:val="009304EF"/>
    <w:rsid w:val="00930E8B"/>
    <w:rsid w:val="009342C4"/>
    <w:rsid w:val="0094012F"/>
    <w:rsid w:val="009522CC"/>
    <w:rsid w:val="009602ED"/>
    <w:rsid w:val="0096418F"/>
    <w:rsid w:val="0096714F"/>
    <w:rsid w:val="00971535"/>
    <w:rsid w:val="00982ECF"/>
    <w:rsid w:val="00984E2D"/>
    <w:rsid w:val="00995C1B"/>
    <w:rsid w:val="00995F3B"/>
    <w:rsid w:val="009B4A41"/>
    <w:rsid w:val="009B6E2E"/>
    <w:rsid w:val="009E3147"/>
    <w:rsid w:val="009E36E8"/>
    <w:rsid w:val="00A02AFE"/>
    <w:rsid w:val="00A07325"/>
    <w:rsid w:val="00A13658"/>
    <w:rsid w:val="00A3240E"/>
    <w:rsid w:val="00A4288C"/>
    <w:rsid w:val="00A53A8F"/>
    <w:rsid w:val="00A54409"/>
    <w:rsid w:val="00A65856"/>
    <w:rsid w:val="00A708B9"/>
    <w:rsid w:val="00A7726A"/>
    <w:rsid w:val="00A81D53"/>
    <w:rsid w:val="00A8273A"/>
    <w:rsid w:val="00A93AC2"/>
    <w:rsid w:val="00AA2827"/>
    <w:rsid w:val="00AB135B"/>
    <w:rsid w:val="00B03BB9"/>
    <w:rsid w:val="00B11D72"/>
    <w:rsid w:val="00B1369D"/>
    <w:rsid w:val="00B20063"/>
    <w:rsid w:val="00B22614"/>
    <w:rsid w:val="00B240F0"/>
    <w:rsid w:val="00B41D3F"/>
    <w:rsid w:val="00B445BF"/>
    <w:rsid w:val="00B47314"/>
    <w:rsid w:val="00B6410D"/>
    <w:rsid w:val="00B65A76"/>
    <w:rsid w:val="00B66DD8"/>
    <w:rsid w:val="00B702C9"/>
    <w:rsid w:val="00B720B5"/>
    <w:rsid w:val="00B83705"/>
    <w:rsid w:val="00B855A3"/>
    <w:rsid w:val="00B86613"/>
    <w:rsid w:val="00B868CB"/>
    <w:rsid w:val="00B94002"/>
    <w:rsid w:val="00BB671F"/>
    <w:rsid w:val="00BD1085"/>
    <w:rsid w:val="00BE12D7"/>
    <w:rsid w:val="00BF0F30"/>
    <w:rsid w:val="00BF1E9A"/>
    <w:rsid w:val="00BF608F"/>
    <w:rsid w:val="00C00C6F"/>
    <w:rsid w:val="00C220A9"/>
    <w:rsid w:val="00C271E7"/>
    <w:rsid w:val="00C30FC7"/>
    <w:rsid w:val="00C338FA"/>
    <w:rsid w:val="00C36742"/>
    <w:rsid w:val="00C62AEC"/>
    <w:rsid w:val="00C653DA"/>
    <w:rsid w:val="00C65CA9"/>
    <w:rsid w:val="00C85991"/>
    <w:rsid w:val="00C9219D"/>
    <w:rsid w:val="00C9242E"/>
    <w:rsid w:val="00CA2AEC"/>
    <w:rsid w:val="00CA33E7"/>
    <w:rsid w:val="00CA5340"/>
    <w:rsid w:val="00CC215A"/>
    <w:rsid w:val="00CC4928"/>
    <w:rsid w:val="00CC4CC3"/>
    <w:rsid w:val="00CE5C0C"/>
    <w:rsid w:val="00CF29F8"/>
    <w:rsid w:val="00D03ECC"/>
    <w:rsid w:val="00D45A7C"/>
    <w:rsid w:val="00D47ACE"/>
    <w:rsid w:val="00D50298"/>
    <w:rsid w:val="00D56E7E"/>
    <w:rsid w:val="00D6020C"/>
    <w:rsid w:val="00D67C91"/>
    <w:rsid w:val="00D72578"/>
    <w:rsid w:val="00D74A61"/>
    <w:rsid w:val="00D959CA"/>
    <w:rsid w:val="00D97E53"/>
    <w:rsid w:val="00DD5BFB"/>
    <w:rsid w:val="00DD7281"/>
    <w:rsid w:val="00DE1906"/>
    <w:rsid w:val="00DE1CDB"/>
    <w:rsid w:val="00DF1431"/>
    <w:rsid w:val="00E10E5E"/>
    <w:rsid w:val="00E42CAA"/>
    <w:rsid w:val="00E45824"/>
    <w:rsid w:val="00E81FCE"/>
    <w:rsid w:val="00E82C4A"/>
    <w:rsid w:val="00E84F88"/>
    <w:rsid w:val="00E8793E"/>
    <w:rsid w:val="00E90030"/>
    <w:rsid w:val="00E91520"/>
    <w:rsid w:val="00E9172E"/>
    <w:rsid w:val="00EB4FC1"/>
    <w:rsid w:val="00EB74EB"/>
    <w:rsid w:val="00ED2F07"/>
    <w:rsid w:val="00ED3878"/>
    <w:rsid w:val="00EF5ED0"/>
    <w:rsid w:val="00EF65E4"/>
    <w:rsid w:val="00EF7153"/>
    <w:rsid w:val="00F008EF"/>
    <w:rsid w:val="00F12A31"/>
    <w:rsid w:val="00F209E6"/>
    <w:rsid w:val="00F41F64"/>
    <w:rsid w:val="00F5649E"/>
    <w:rsid w:val="00F7070D"/>
    <w:rsid w:val="00F70DE9"/>
    <w:rsid w:val="00F83B30"/>
    <w:rsid w:val="00F83FE1"/>
    <w:rsid w:val="00F87773"/>
    <w:rsid w:val="00F87FEC"/>
    <w:rsid w:val="00FA6970"/>
    <w:rsid w:val="00FC3DB1"/>
    <w:rsid w:val="00FC4591"/>
    <w:rsid w:val="00FD089F"/>
    <w:rsid w:val="00FE25C3"/>
    <w:rsid w:val="00FE28A6"/>
    <w:rsid w:val="00FE4FC1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41E2"/>
  </w:style>
  <w:style w:type="paragraph" w:styleId="Nadpis1">
    <w:name w:val="heading 1"/>
    <w:basedOn w:val="Normln"/>
    <w:next w:val="Normln"/>
    <w:qFormat/>
    <w:rsid w:val="004841E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841E2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41E2"/>
    <w:rPr>
      <w:color w:val="0000FF"/>
      <w:u w:val="single"/>
    </w:rPr>
  </w:style>
  <w:style w:type="paragraph" w:styleId="Zhlav">
    <w:name w:val="header"/>
    <w:basedOn w:val="Normln"/>
    <w:rsid w:val="004841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841E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94002"/>
  </w:style>
  <w:style w:type="paragraph" w:styleId="Odstavecseseznamem">
    <w:name w:val="List Paragraph"/>
    <w:basedOn w:val="Normln"/>
    <w:uiPriority w:val="34"/>
    <w:qFormat/>
    <w:rsid w:val="001C0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03BB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3BB9"/>
    <w:rPr>
      <w:rFonts w:ascii="Consolas" w:eastAsiaTheme="minorHAnsi" w:hAnsi="Consolas" w:cstheme="minorBidi"/>
      <w:sz w:val="21"/>
      <w:szCs w:val="21"/>
      <w:lang w:eastAsia="en-US"/>
    </w:rPr>
  </w:style>
  <w:style w:type="paragraph" w:styleId="Bezmezer">
    <w:name w:val="No Spacing"/>
    <w:uiPriority w:val="1"/>
    <w:qFormat/>
    <w:rsid w:val="00367D14"/>
    <w:rPr>
      <w:rFonts w:ascii="Calibri" w:hAnsi="Calibri"/>
      <w:sz w:val="22"/>
      <w:szCs w:val="22"/>
    </w:rPr>
  </w:style>
  <w:style w:type="numbering" w:customStyle="1" w:styleId="Styl1">
    <w:name w:val="Styl1"/>
    <w:uiPriority w:val="99"/>
    <w:rsid w:val="008F4982"/>
    <w:pPr>
      <w:numPr>
        <w:numId w:val="27"/>
      </w:numPr>
    </w:pPr>
  </w:style>
  <w:style w:type="paragraph" w:customStyle="1" w:styleId="text">
    <w:name w:val="text"/>
    <w:basedOn w:val="Normln"/>
    <w:link w:val="textChar"/>
    <w:uiPriority w:val="99"/>
    <w:qFormat/>
    <w:rsid w:val="00E91520"/>
    <w:pPr>
      <w:autoSpaceDE w:val="0"/>
      <w:autoSpaceDN w:val="0"/>
      <w:adjustRightInd w:val="0"/>
      <w:jc w:val="both"/>
    </w:pPr>
    <w:rPr>
      <w:rFonts w:eastAsia="MS Mincho"/>
      <w:sz w:val="24"/>
      <w:szCs w:val="24"/>
      <w:lang w:eastAsia="en-US"/>
    </w:rPr>
  </w:style>
  <w:style w:type="character" w:customStyle="1" w:styleId="textChar">
    <w:name w:val="text Char"/>
    <w:basedOn w:val="Standardnpsmoodstavce"/>
    <w:link w:val="text"/>
    <w:rsid w:val="00E91520"/>
    <w:rPr>
      <w:rFonts w:eastAsia="MS Mincho"/>
      <w:sz w:val="24"/>
      <w:szCs w:val="24"/>
      <w:lang w:eastAsia="en-US"/>
    </w:rPr>
  </w:style>
  <w:style w:type="paragraph" w:styleId="Textkomente">
    <w:name w:val="annotation text"/>
    <w:basedOn w:val="Normln"/>
    <w:link w:val="CommentTextChar"/>
    <w:uiPriority w:val="99"/>
    <w:rsid w:val="005D7811"/>
  </w:style>
  <w:style w:type="character" w:customStyle="1" w:styleId="CommentTextChar">
    <w:name w:val="Comment Text Char"/>
    <w:basedOn w:val="Standardnpsmoodstavce"/>
    <w:link w:val="Textkomente"/>
    <w:uiPriority w:val="99"/>
    <w:rsid w:val="005D7811"/>
  </w:style>
  <w:style w:type="paragraph" w:styleId="Textpoznpodarou">
    <w:name w:val="footnote text"/>
    <w:basedOn w:val="Normln"/>
    <w:link w:val="FootnoteTextChar"/>
    <w:uiPriority w:val="99"/>
    <w:unhideWhenUsed/>
    <w:rsid w:val="005D781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Standardnpsmoodstavce"/>
    <w:link w:val="Textpoznpodarou"/>
    <w:uiPriority w:val="99"/>
    <w:rsid w:val="005D7811"/>
  </w:style>
  <w:style w:type="character" w:styleId="Znakapoznpod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"/>
    <w:basedOn w:val="Standardnpsmoodstavce"/>
    <w:uiPriority w:val="99"/>
    <w:unhideWhenUsed/>
    <w:rsid w:val="005D7811"/>
    <w:rPr>
      <w:vertAlign w:val="superscript"/>
    </w:rPr>
  </w:style>
  <w:style w:type="paragraph" w:styleId="Textbubliny">
    <w:name w:val="Balloon Text"/>
    <w:basedOn w:val="Normln"/>
    <w:link w:val="BalloonTextChar"/>
    <w:rsid w:val="00A3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rdnpsmoodstavce"/>
    <w:link w:val="Textbubliny"/>
    <w:rsid w:val="00A3240E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uiPriority w:val="99"/>
    <w:rsid w:val="007F3509"/>
    <w:pPr>
      <w:numPr>
        <w:numId w:val="48"/>
      </w:numPr>
    </w:pPr>
  </w:style>
  <w:style w:type="paragraph" w:customStyle="1" w:styleId="ListParagraph1">
    <w:name w:val="List Paragraph1"/>
    <w:basedOn w:val="Normln"/>
    <w:uiPriority w:val="99"/>
    <w:rsid w:val="004320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4320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uiPriority w:val="99"/>
    <w:rsid w:val="00CA33E7"/>
    <w:pPr>
      <w:spacing w:before="120"/>
      <w:ind w:firstLine="482"/>
      <w:jc w:val="both"/>
    </w:pPr>
    <w:rPr>
      <w:noProof/>
      <w:sz w:val="24"/>
      <w:szCs w:val="24"/>
    </w:rPr>
  </w:style>
  <w:style w:type="paragraph" w:customStyle="1" w:styleId="DZ">
    <w:name w:val="DZ"/>
    <w:basedOn w:val="Normln"/>
    <w:link w:val="DZChar"/>
    <w:uiPriority w:val="99"/>
    <w:rsid w:val="00CA33E7"/>
    <w:pPr>
      <w:keepNext/>
      <w:spacing w:before="120"/>
      <w:jc w:val="both"/>
      <w:outlineLvl w:val="0"/>
    </w:pPr>
    <w:rPr>
      <w:rFonts w:ascii="Arial" w:hAnsi="Arial"/>
      <w:color w:val="0000FF"/>
      <w:sz w:val="24"/>
    </w:rPr>
  </w:style>
  <w:style w:type="character" w:customStyle="1" w:styleId="DZChar">
    <w:name w:val="DZ Char"/>
    <w:link w:val="DZ"/>
    <w:uiPriority w:val="99"/>
    <w:locked/>
    <w:rsid w:val="00CA33E7"/>
    <w:rPr>
      <w:rFonts w:ascii="Arial" w:hAnsi="Arial"/>
      <w:color w:val="0000FF"/>
      <w:sz w:val="24"/>
    </w:rPr>
  </w:style>
  <w:style w:type="paragraph" w:customStyle="1" w:styleId="psmeno">
    <w:name w:val="písmeno"/>
    <w:basedOn w:val="slovanseznam"/>
    <w:uiPriority w:val="99"/>
    <w:rsid w:val="00CA33E7"/>
    <w:pPr>
      <w:tabs>
        <w:tab w:val="clear" w:pos="567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customStyle="1" w:styleId="Novelizanbod">
    <w:name w:val="Novelizační bod"/>
    <w:basedOn w:val="Normln"/>
    <w:next w:val="Normln"/>
    <w:link w:val="NovelizanbodChar"/>
    <w:uiPriority w:val="99"/>
    <w:rsid w:val="00CA33E7"/>
    <w:pPr>
      <w:keepNext/>
      <w:keepLines/>
      <w:numPr>
        <w:numId w:val="52"/>
      </w:numPr>
      <w:tabs>
        <w:tab w:val="left" w:pos="851"/>
      </w:tabs>
      <w:spacing w:before="480" w:after="120"/>
      <w:jc w:val="both"/>
    </w:pPr>
    <w:rPr>
      <w:sz w:val="24"/>
      <w:lang w:eastAsia="en-GB"/>
    </w:rPr>
  </w:style>
  <w:style w:type="character" w:customStyle="1" w:styleId="NovelizanbodChar">
    <w:name w:val="Novelizační bod Char"/>
    <w:link w:val="Novelizanbod"/>
    <w:uiPriority w:val="99"/>
    <w:locked/>
    <w:rsid w:val="00CA33E7"/>
    <w:rPr>
      <w:sz w:val="24"/>
      <w:lang w:eastAsia="en-GB"/>
    </w:rPr>
  </w:style>
  <w:style w:type="paragraph" w:styleId="slovanseznam">
    <w:name w:val="List Number"/>
    <w:basedOn w:val="Normln"/>
    <w:rsid w:val="00CA33E7"/>
    <w:pPr>
      <w:tabs>
        <w:tab w:val="num" w:pos="567"/>
      </w:tabs>
      <w:ind w:left="567" w:hanging="567"/>
      <w:contextualSpacing/>
    </w:pPr>
  </w:style>
  <w:style w:type="character" w:customStyle="1" w:styleId="tituleknadpisu">
    <w:name w:val="titulek nadpisu"/>
    <w:rsid w:val="00595469"/>
    <w:rPr>
      <w:b/>
    </w:rPr>
  </w:style>
  <w:style w:type="paragraph" w:customStyle="1" w:styleId="ZKON">
    <w:name w:val="ZÁKON"/>
    <w:basedOn w:val="Normln"/>
    <w:next w:val="nadpiszkona"/>
    <w:uiPriority w:val="99"/>
    <w:rsid w:val="00796241"/>
    <w:pPr>
      <w:keepNext/>
      <w:keepLines/>
      <w:jc w:val="center"/>
      <w:outlineLvl w:val="0"/>
    </w:pPr>
    <w:rPr>
      <w:b/>
      <w:caps/>
      <w:sz w:val="24"/>
      <w:lang w:eastAsia="en-GB"/>
    </w:rPr>
  </w:style>
  <w:style w:type="paragraph" w:customStyle="1" w:styleId="nadpiszkona">
    <w:name w:val="nadpis zákona"/>
    <w:basedOn w:val="Normln"/>
    <w:next w:val="Normln"/>
    <w:uiPriority w:val="99"/>
    <w:rsid w:val="00796241"/>
    <w:pPr>
      <w:keepNext/>
      <w:keepLines/>
      <w:spacing w:before="120"/>
      <w:jc w:val="center"/>
      <w:outlineLvl w:val="0"/>
    </w:pPr>
    <w:rPr>
      <w:b/>
      <w:sz w:val="24"/>
      <w:lang w:eastAsia="en-GB"/>
    </w:rPr>
  </w:style>
  <w:style w:type="paragraph" w:customStyle="1" w:styleId="Nvrh">
    <w:name w:val="Návrh"/>
    <w:basedOn w:val="Normln"/>
    <w:next w:val="ZKON"/>
    <w:uiPriority w:val="99"/>
    <w:rsid w:val="00796241"/>
    <w:pPr>
      <w:keepNext/>
      <w:keepLines/>
      <w:spacing w:after="240"/>
      <w:jc w:val="center"/>
      <w:outlineLvl w:val="0"/>
    </w:pPr>
    <w:rPr>
      <w:spacing w:val="40"/>
      <w:sz w:val="24"/>
      <w:lang w:eastAsia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F26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qFormat/>
    <w:rsid w:val="00C271E7"/>
    <w:pPr>
      <w:spacing w:before="360" w:after="24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41E2"/>
  </w:style>
  <w:style w:type="paragraph" w:styleId="Nadpis1">
    <w:name w:val="heading 1"/>
    <w:basedOn w:val="Normln"/>
    <w:next w:val="Normln"/>
    <w:qFormat/>
    <w:rsid w:val="004841E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841E2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41E2"/>
    <w:rPr>
      <w:color w:val="0000FF"/>
      <w:u w:val="single"/>
    </w:rPr>
  </w:style>
  <w:style w:type="paragraph" w:styleId="Zhlav">
    <w:name w:val="header"/>
    <w:basedOn w:val="Normln"/>
    <w:rsid w:val="004841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841E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94002"/>
  </w:style>
  <w:style w:type="paragraph" w:styleId="Odstavecseseznamem">
    <w:name w:val="List Paragraph"/>
    <w:basedOn w:val="Normln"/>
    <w:uiPriority w:val="34"/>
    <w:qFormat/>
    <w:rsid w:val="001C0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03BB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3BB9"/>
    <w:rPr>
      <w:rFonts w:ascii="Consolas" w:eastAsiaTheme="minorHAnsi" w:hAnsi="Consolas" w:cstheme="minorBidi"/>
      <w:sz w:val="21"/>
      <w:szCs w:val="21"/>
      <w:lang w:eastAsia="en-US"/>
    </w:rPr>
  </w:style>
  <w:style w:type="paragraph" w:styleId="Bezmezer">
    <w:name w:val="No Spacing"/>
    <w:uiPriority w:val="1"/>
    <w:qFormat/>
    <w:rsid w:val="00367D14"/>
    <w:rPr>
      <w:rFonts w:ascii="Calibri" w:hAnsi="Calibri"/>
      <w:sz w:val="22"/>
      <w:szCs w:val="22"/>
    </w:rPr>
  </w:style>
  <w:style w:type="numbering" w:customStyle="1" w:styleId="Styl1">
    <w:name w:val="Styl1"/>
    <w:uiPriority w:val="99"/>
    <w:rsid w:val="008F4982"/>
    <w:pPr>
      <w:numPr>
        <w:numId w:val="27"/>
      </w:numPr>
    </w:pPr>
  </w:style>
  <w:style w:type="paragraph" w:customStyle="1" w:styleId="text">
    <w:name w:val="text"/>
    <w:basedOn w:val="Normln"/>
    <w:link w:val="textChar"/>
    <w:uiPriority w:val="99"/>
    <w:qFormat/>
    <w:rsid w:val="00E91520"/>
    <w:pPr>
      <w:autoSpaceDE w:val="0"/>
      <w:autoSpaceDN w:val="0"/>
      <w:adjustRightInd w:val="0"/>
      <w:jc w:val="both"/>
    </w:pPr>
    <w:rPr>
      <w:rFonts w:eastAsia="MS Mincho"/>
      <w:sz w:val="24"/>
      <w:szCs w:val="24"/>
      <w:lang w:eastAsia="en-US"/>
    </w:rPr>
  </w:style>
  <w:style w:type="character" w:customStyle="1" w:styleId="textChar">
    <w:name w:val="text Char"/>
    <w:basedOn w:val="Standardnpsmoodstavce"/>
    <w:link w:val="text"/>
    <w:rsid w:val="00E91520"/>
    <w:rPr>
      <w:rFonts w:eastAsia="MS Mincho"/>
      <w:sz w:val="24"/>
      <w:szCs w:val="24"/>
      <w:lang w:eastAsia="en-US"/>
    </w:rPr>
  </w:style>
  <w:style w:type="paragraph" w:styleId="Textkomente">
    <w:name w:val="annotation text"/>
    <w:basedOn w:val="Normln"/>
    <w:link w:val="CommentTextChar"/>
    <w:uiPriority w:val="99"/>
    <w:rsid w:val="005D7811"/>
  </w:style>
  <w:style w:type="character" w:customStyle="1" w:styleId="CommentTextChar">
    <w:name w:val="Comment Text Char"/>
    <w:basedOn w:val="Standardnpsmoodstavce"/>
    <w:link w:val="Textkomente"/>
    <w:uiPriority w:val="99"/>
    <w:rsid w:val="005D7811"/>
  </w:style>
  <w:style w:type="paragraph" w:styleId="Textpoznpodarou">
    <w:name w:val="footnote text"/>
    <w:basedOn w:val="Normln"/>
    <w:link w:val="FootnoteTextChar"/>
    <w:uiPriority w:val="99"/>
    <w:unhideWhenUsed/>
    <w:rsid w:val="005D781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Standardnpsmoodstavce"/>
    <w:link w:val="Textpoznpodarou"/>
    <w:uiPriority w:val="99"/>
    <w:rsid w:val="005D7811"/>
  </w:style>
  <w:style w:type="character" w:styleId="Znakapoznpod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"/>
    <w:basedOn w:val="Standardnpsmoodstavce"/>
    <w:uiPriority w:val="99"/>
    <w:unhideWhenUsed/>
    <w:rsid w:val="005D7811"/>
    <w:rPr>
      <w:vertAlign w:val="superscript"/>
    </w:rPr>
  </w:style>
  <w:style w:type="paragraph" w:styleId="Textbubliny">
    <w:name w:val="Balloon Text"/>
    <w:basedOn w:val="Normln"/>
    <w:link w:val="BalloonTextChar"/>
    <w:rsid w:val="00A3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rdnpsmoodstavce"/>
    <w:link w:val="Textbubliny"/>
    <w:rsid w:val="00A3240E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uiPriority w:val="99"/>
    <w:rsid w:val="007F3509"/>
    <w:pPr>
      <w:numPr>
        <w:numId w:val="48"/>
      </w:numPr>
    </w:pPr>
  </w:style>
  <w:style w:type="paragraph" w:customStyle="1" w:styleId="ListParagraph1">
    <w:name w:val="List Paragraph1"/>
    <w:basedOn w:val="Normln"/>
    <w:uiPriority w:val="99"/>
    <w:rsid w:val="004320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4320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uiPriority w:val="99"/>
    <w:rsid w:val="00CA33E7"/>
    <w:pPr>
      <w:spacing w:before="120"/>
      <w:ind w:firstLine="482"/>
      <w:jc w:val="both"/>
    </w:pPr>
    <w:rPr>
      <w:noProof/>
      <w:sz w:val="24"/>
      <w:szCs w:val="24"/>
    </w:rPr>
  </w:style>
  <w:style w:type="paragraph" w:customStyle="1" w:styleId="DZ">
    <w:name w:val="DZ"/>
    <w:basedOn w:val="Normln"/>
    <w:link w:val="DZChar"/>
    <w:uiPriority w:val="99"/>
    <w:rsid w:val="00CA33E7"/>
    <w:pPr>
      <w:keepNext/>
      <w:spacing w:before="120"/>
      <w:jc w:val="both"/>
      <w:outlineLvl w:val="0"/>
    </w:pPr>
    <w:rPr>
      <w:rFonts w:ascii="Arial" w:hAnsi="Arial"/>
      <w:color w:val="0000FF"/>
      <w:sz w:val="24"/>
    </w:rPr>
  </w:style>
  <w:style w:type="character" w:customStyle="1" w:styleId="DZChar">
    <w:name w:val="DZ Char"/>
    <w:link w:val="DZ"/>
    <w:uiPriority w:val="99"/>
    <w:locked/>
    <w:rsid w:val="00CA33E7"/>
    <w:rPr>
      <w:rFonts w:ascii="Arial" w:hAnsi="Arial"/>
      <w:color w:val="0000FF"/>
      <w:sz w:val="24"/>
    </w:rPr>
  </w:style>
  <w:style w:type="paragraph" w:customStyle="1" w:styleId="psmeno">
    <w:name w:val="písmeno"/>
    <w:basedOn w:val="slovanseznam"/>
    <w:uiPriority w:val="99"/>
    <w:rsid w:val="00CA33E7"/>
    <w:pPr>
      <w:tabs>
        <w:tab w:val="clear" w:pos="567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customStyle="1" w:styleId="Novelizanbod">
    <w:name w:val="Novelizační bod"/>
    <w:basedOn w:val="Normln"/>
    <w:next w:val="Normln"/>
    <w:link w:val="NovelizanbodChar"/>
    <w:uiPriority w:val="99"/>
    <w:rsid w:val="00CA33E7"/>
    <w:pPr>
      <w:keepNext/>
      <w:keepLines/>
      <w:numPr>
        <w:numId w:val="52"/>
      </w:numPr>
      <w:tabs>
        <w:tab w:val="left" w:pos="851"/>
      </w:tabs>
      <w:spacing w:before="480" w:after="120"/>
      <w:jc w:val="both"/>
    </w:pPr>
    <w:rPr>
      <w:sz w:val="24"/>
      <w:lang w:eastAsia="en-GB"/>
    </w:rPr>
  </w:style>
  <w:style w:type="character" w:customStyle="1" w:styleId="NovelizanbodChar">
    <w:name w:val="Novelizační bod Char"/>
    <w:link w:val="Novelizanbod"/>
    <w:uiPriority w:val="99"/>
    <w:locked/>
    <w:rsid w:val="00CA33E7"/>
    <w:rPr>
      <w:sz w:val="24"/>
      <w:lang w:eastAsia="en-GB"/>
    </w:rPr>
  </w:style>
  <w:style w:type="paragraph" w:styleId="slovanseznam">
    <w:name w:val="List Number"/>
    <w:basedOn w:val="Normln"/>
    <w:rsid w:val="00CA33E7"/>
    <w:pPr>
      <w:tabs>
        <w:tab w:val="num" w:pos="567"/>
      </w:tabs>
      <w:ind w:left="567" w:hanging="567"/>
      <w:contextualSpacing/>
    </w:pPr>
  </w:style>
  <w:style w:type="character" w:customStyle="1" w:styleId="tituleknadpisu">
    <w:name w:val="titulek nadpisu"/>
    <w:rsid w:val="00595469"/>
    <w:rPr>
      <w:b/>
    </w:rPr>
  </w:style>
  <w:style w:type="paragraph" w:customStyle="1" w:styleId="ZKON">
    <w:name w:val="ZÁKON"/>
    <w:basedOn w:val="Normln"/>
    <w:next w:val="nadpiszkona"/>
    <w:uiPriority w:val="99"/>
    <w:rsid w:val="00796241"/>
    <w:pPr>
      <w:keepNext/>
      <w:keepLines/>
      <w:jc w:val="center"/>
      <w:outlineLvl w:val="0"/>
    </w:pPr>
    <w:rPr>
      <w:b/>
      <w:caps/>
      <w:sz w:val="24"/>
      <w:lang w:eastAsia="en-GB"/>
    </w:rPr>
  </w:style>
  <w:style w:type="paragraph" w:customStyle="1" w:styleId="nadpiszkona">
    <w:name w:val="nadpis zákona"/>
    <w:basedOn w:val="Normln"/>
    <w:next w:val="Normln"/>
    <w:uiPriority w:val="99"/>
    <w:rsid w:val="00796241"/>
    <w:pPr>
      <w:keepNext/>
      <w:keepLines/>
      <w:spacing w:before="120"/>
      <w:jc w:val="center"/>
      <w:outlineLvl w:val="0"/>
    </w:pPr>
    <w:rPr>
      <w:b/>
      <w:sz w:val="24"/>
      <w:lang w:eastAsia="en-GB"/>
    </w:rPr>
  </w:style>
  <w:style w:type="paragraph" w:customStyle="1" w:styleId="Nvrh">
    <w:name w:val="Návrh"/>
    <w:basedOn w:val="Normln"/>
    <w:next w:val="ZKON"/>
    <w:uiPriority w:val="99"/>
    <w:rsid w:val="00796241"/>
    <w:pPr>
      <w:keepNext/>
      <w:keepLines/>
      <w:spacing w:after="240"/>
      <w:jc w:val="center"/>
      <w:outlineLvl w:val="0"/>
    </w:pPr>
    <w:rPr>
      <w:spacing w:val="40"/>
      <w:sz w:val="24"/>
      <w:lang w:eastAsia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F26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qFormat/>
    <w:rsid w:val="00C271E7"/>
    <w:pPr>
      <w:spacing w:before="36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cizek\Documents\MAE%20progn&#243;zy\Predikce%20&#268;R_tabulky_zkladni%20MAEukazatele_Honza0909podkladSR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HDP_HPH_Produkce_dleOSvetvi_s.c!$A$53:$B$53</c:f>
              <c:strCache>
                <c:ptCount val="1"/>
                <c:pt idx="0">
                  <c:v>Celkem</c:v>
                </c:pt>
              </c:strCache>
            </c:strRef>
          </c:tx>
          <c:marker>
            <c:symbol val="none"/>
          </c:marker>
          <c:cat>
            <c:strRef>
              <c:f>HDP_HPH_Produkce_dleOSvetvi_s.c!$C$52:$N$52</c:f>
              <c:strCach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2012e</c:v>
                </c:pt>
              </c:strCache>
            </c:strRef>
          </c:cat>
          <c:val>
            <c:numRef>
              <c:f>HDP_HPH_Produkce_dleOSvetvi_s.c!$C$53:$N$53</c:f>
              <c:numCache>
                <c:formatCode>0.0%</c:formatCode>
                <c:ptCount val="12"/>
                <c:pt idx="0">
                  <c:v>3.1793963248866651E-2</c:v>
                </c:pt>
                <c:pt idx="1">
                  <c:v>2.7577194236389182E-2</c:v>
                </c:pt>
                <c:pt idx="2">
                  <c:v>3.1224070830260242E-2</c:v>
                </c:pt>
                <c:pt idx="3">
                  <c:v>4.7448056543025786E-2</c:v>
                </c:pt>
                <c:pt idx="4">
                  <c:v>6.9872296809420892E-2</c:v>
                </c:pt>
                <c:pt idx="5">
                  <c:v>7.6992799754685398E-2</c:v>
                </c:pt>
                <c:pt idx="6">
                  <c:v>5.4907022248324618E-2</c:v>
                </c:pt>
                <c:pt idx="7">
                  <c:v>4.0590374672182947E-2</c:v>
                </c:pt>
                <c:pt idx="8">
                  <c:v>-5.1552525404974875E-2</c:v>
                </c:pt>
                <c:pt idx="9">
                  <c:v>3.1172371209857084E-2</c:v>
                </c:pt>
                <c:pt idx="10">
                  <c:v>1.8138079309049107E-2</c:v>
                </c:pt>
                <c:pt idx="11">
                  <c:v>-9.6898251541556232E-3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HDP_HPH_Produkce_dleOSvetvi_s.c!$A$54:$B$54</c:f>
              <c:strCache>
                <c:ptCount val="1"/>
                <c:pt idx="0">
                  <c:v>Průmysl (BCDE)</c:v>
                </c:pt>
              </c:strCache>
            </c:strRef>
          </c:tx>
          <c:marker>
            <c:symbol val="none"/>
          </c:marker>
          <c:cat>
            <c:strRef>
              <c:f>HDP_HPH_Produkce_dleOSvetvi_s.c!$C$52:$N$52</c:f>
              <c:strCach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2012e</c:v>
                </c:pt>
              </c:strCache>
            </c:strRef>
          </c:cat>
          <c:val>
            <c:numRef>
              <c:f>HDP_HPH_Produkce_dleOSvetvi_s.c!$C$54:$N$54</c:f>
              <c:numCache>
                <c:formatCode>0.00%</c:formatCode>
                <c:ptCount val="12"/>
                <c:pt idx="0">
                  <c:v>2.9892826410076005E-2</c:v>
                </c:pt>
                <c:pt idx="1">
                  <c:v>4.097342067523882E-2</c:v>
                </c:pt>
                <c:pt idx="2">
                  <c:v>2.9190326709251035E-2</c:v>
                </c:pt>
                <c:pt idx="3">
                  <c:v>8.9407837737813023E-2</c:v>
                </c:pt>
                <c:pt idx="4">
                  <c:v>0.14209495992356969</c:v>
                </c:pt>
                <c:pt idx="5">
                  <c:v>0.15389121443818521</c:v>
                </c:pt>
                <c:pt idx="6">
                  <c:v>6.4779359258377633E-2</c:v>
                </c:pt>
                <c:pt idx="7">
                  <c:v>0.10034960591649346</c:v>
                </c:pt>
                <c:pt idx="8">
                  <c:v>-0.14000109588579199</c:v>
                </c:pt>
                <c:pt idx="9">
                  <c:v>8.1390698485950527E-2</c:v>
                </c:pt>
                <c:pt idx="10">
                  <c:v>6.7668832163566117E-2</c:v>
                </c:pt>
                <c:pt idx="11">
                  <c:v>3.215141985831952E-3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777152"/>
        <c:axId val="33778688"/>
      </c:lineChart>
      <c:catAx>
        <c:axId val="33777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33778688"/>
        <c:crosses val="autoZero"/>
        <c:auto val="1"/>
        <c:lblAlgn val="ctr"/>
        <c:lblOffset val="100"/>
        <c:noMultiLvlLbl val="0"/>
      </c:catAx>
      <c:valAx>
        <c:axId val="337786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Meziroční reálný</a:t>
                </a:r>
                <a:r>
                  <a:rPr lang="cs-CZ" baseline="0"/>
                  <a:t> vývoj</a:t>
                </a:r>
                <a:endParaRPr lang="cs-CZ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3377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7188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dopisního papíru SP ČR</vt:lpstr>
    </vt:vector>
  </TitlesOfParts>
  <Manager>Ing. Zdeněk Liška</Manager>
  <Company>Svaz průmyslu a dopravy ČR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dopisního papíru SP ČR</dc:title>
  <dc:creator>Petra Ježková</dc:creator>
  <cp:lastModifiedBy>Matoušková Anna (MPSV)</cp:lastModifiedBy>
  <cp:revision>2</cp:revision>
  <cp:lastPrinted>2013-09-20T07:41:00Z</cp:lastPrinted>
  <dcterms:created xsi:type="dcterms:W3CDTF">2013-09-24T10:00:00Z</dcterms:created>
  <dcterms:modified xsi:type="dcterms:W3CDTF">2013-09-24T10:00:00Z</dcterms:modified>
</cp:coreProperties>
</file>