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E7" w:rsidRPr="00847611" w:rsidRDefault="005942E7" w:rsidP="005942E7">
      <w:pPr>
        <w:pStyle w:val="Podtitul"/>
      </w:pPr>
    </w:p>
    <w:p w:rsidR="005942E7" w:rsidRPr="00847611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:rsidR="005942E7" w:rsidRPr="00847611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:rsidR="005942E7" w:rsidRPr="00847611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:rsidR="005942E7" w:rsidRPr="00847611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:rsidR="005942E7" w:rsidRPr="00847611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:rsidR="005942E7" w:rsidRPr="00847611" w:rsidRDefault="005942E7" w:rsidP="005942E7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color w:val="404040" w:themeColor="text1" w:themeTint="BF"/>
        </w:rPr>
      </w:pPr>
    </w:p>
    <w:p w:rsidR="005942E7" w:rsidRPr="00847611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:rsidR="005942E7" w:rsidRPr="00847611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:rsidR="005942E7" w:rsidRPr="00667426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b/>
          <w:color w:val="404040" w:themeColor="text1" w:themeTint="BF"/>
          <w:u w:val="thick"/>
        </w:rPr>
      </w:pPr>
      <w:r w:rsidRPr="00667426">
        <w:rPr>
          <w:rFonts w:ascii="Calibri" w:hAnsi="Calibri" w:cs="Calibri"/>
          <w:b/>
          <w:color w:val="404040" w:themeColor="text1" w:themeTint="BF"/>
          <w:u w:val="thick"/>
        </w:rPr>
        <w:t>3. BALÍČEK OPATŘENÍ V OBLASTI MOBILITY</w:t>
      </w:r>
    </w:p>
    <w:p w:rsidR="009D69B1" w:rsidRDefault="005942E7" w:rsidP="009D69B1">
      <w:pPr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404040" w:themeColor="text1" w:themeTint="BF"/>
        </w:rPr>
      </w:pPr>
      <w:r w:rsidRPr="00847611">
        <w:rPr>
          <w:rFonts w:ascii="Calibri" w:hAnsi="Calibri" w:cs="Calibri"/>
          <w:color w:val="404040" w:themeColor="text1" w:themeTint="BF"/>
        </w:rPr>
        <w:t xml:space="preserve">Odkazy na dokumenty </w:t>
      </w:r>
      <w:r w:rsidR="009D69B1">
        <w:rPr>
          <w:rFonts w:ascii="Calibri" w:hAnsi="Calibri" w:cs="Calibri"/>
          <w:color w:val="404040" w:themeColor="text1" w:themeTint="BF"/>
        </w:rPr>
        <w:t xml:space="preserve">EK </w:t>
      </w:r>
      <w:r w:rsidRPr="00847611">
        <w:rPr>
          <w:rFonts w:ascii="Calibri" w:hAnsi="Calibri" w:cs="Calibri"/>
          <w:color w:val="404040" w:themeColor="text1" w:themeTint="BF"/>
        </w:rPr>
        <w:t xml:space="preserve">označeny </w:t>
      </w:r>
      <w:r w:rsidRPr="00847611">
        <w:rPr>
          <w:rFonts w:ascii="Calibri" w:hAnsi="Calibri" w:cs="Calibri"/>
          <w:color w:val="0000FF"/>
        </w:rPr>
        <w:t>modře</w:t>
      </w:r>
      <w:r w:rsidRPr="00847611">
        <w:rPr>
          <w:rFonts w:ascii="Calibri" w:hAnsi="Calibri" w:cs="Calibri"/>
          <w:color w:val="404040" w:themeColor="text1" w:themeTint="BF"/>
        </w:rPr>
        <w:t xml:space="preserve"> (v </w:t>
      </w:r>
      <w:r w:rsidRPr="00847611">
        <w:rPr>
          <w:rFonts w:ascii="Calibri" w:hAnsi="Calibri" w:cs="Calibri"/>
          <w:color w:val="0000FF"/>
        </w:rPr>
        <w:t>AJ</w:t>
      </w:r>
      <w:r w:rsidRPr="00847611">
        <w:rPr>
          <w:rFonts w:ascii="Calibri" w:hAnsi="Calibri" w:cs="Calibri"/>
          <w:color w:val="404040" w:themeColor="text1" w:themeTint="BF"/>
        </w:rPr>
        <w:t xml:space="preserve">) a </w:t>
      </w:r>
      <w:r w:rsidRPr="0099560D">
        <w:rPr>
          <w:rFonts w:ascii="Calibri" w:hAnsi="Calibri" w:cs="Calibri"/>
          <w:color w:val="00B050"/>
        </w:rPr>
        <w:t>zeleně</w:t>
      </w:r>
      <w:r w:rsidRPr="00847611">
        <w:rPr>
          <w:rFonts w:ascii="Calibri" w:hAnsi="Calibri" w:cs="Calibri"/>
          <w:color w:val="404040" w:themeColor="text1" w:themeTint="BF"/>
        </w:rPr>
        <w:t xml:space="preserve"> (v </w:t>
      </w:r>
      <w:r w:rsidRPr="0099560D">
        <w:rPr>
          <w:rFonts w:ascii="Calibri" w:hAnsi="Calibri" w:cs="Calibri"/>
          <w:color w:val="00B050"/>
        </w:rPr>
        <w:t>ČJ</w:t>
      </w:r>
      <w:r w:rsidRPr="00847611">
        <w:rPr>
          <w:rFonts w:ascii="Calibri" w:hAnsi="Calibri" w:cs="Calibri"/>
          <w:color w:val="404040" w:themeColor="text1" w:themeTint="BF"/>
        </w:rPr>
        <w:t>)</w:t>
      </w:r>
      <w:r w:rsidR="00A45073">
        <w:rPr>
          <w:rFonts w:ascii="Calibri" w:hAnsi="Calibri" w:cs="Calibri"/>
          <w:color w:val="404040" w:themeColor="text1" w:themeTint="BF"/>
        </w:rPr>
        <w:t>, jedná se pouze o pracovní překlad</w:t>
      </w:r>
    </w:p>
    <w:p w:rsidR="005942E7" w:rsidRPr="00847611" w:rsidRDefault="009D69B1" w:rsidP="009D69B1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(odkazy v rámci tohoto pracovního dokumentu </w:t>
      </w:r>
      <w:r w:rsidRPr="009D69B1">
        <w:rPr>
          <w:rFonts w:ascii="Calibri" w:hAnsi="Calibri" w:cs="Calibri"/>
          <w:color w:val="FF0000"/>
        </w:rPr>
        <w:t>červeně</w:t>
      </w:r>
      <w:r>
        <w:rPr>
          <w:rFonts w:ascii="Calibri" w:hAnsi="Calibri" w:cs="Calibri"/>
          <w:color w:val="404040" w:themeColor="text1" w:themeTint="BF"/>
        </w:rPr>
        <w:t>)</w:t>
      </w:r>
    </w:p>
    <w:p w:rsidR="005942E7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:rsidR="009D69B1" w:rsidRPr="00847611" w:rsidRDefault="009D69B1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:rsidR="005942E7" w:rsidRPr="00847611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  <w:r w:rsidRPr="0099560D">
        <w:rPr>
          <w:rFonts w:ascii="Calibri" w:hAnsi="Calibri" w:cs="Calibri"/>
          <w:color w:val="404040" w:themeColor="text1" w:themeTint="BF"/>
        </w:rPr>
        <w:t>Nová opatření Evropské komise zveřejněné 17. května 2018 mají zajistit „</w:t>
      </w:r>
      <w:r w:rsidRPr="0099560D">
        <w:rPr>
          <w:color w:val="404040" w:themeColor="text1" w:themeTint="BF"/>
        </w:rPr>
        <w:t xml:space="preserve">systém mobility, který bude </w:t>
      </w:r>
      <w:r w:rsidRPr="0099560D">
        <w:rPr>
          <w:rStyle w:val="Siln"/>
          <w:color w:val="404040" w:themeColor="text1" w:themeTint="BF"/>
        </w:rPr>
        <w:t>bezpečný</w:t>
      </w:r>
      <w:r w:rsidRPr="0099560D">
        <w:rPr>
          <w:color w:val="404040" w:themeColor="text1" w:themeTint="BF"/>
        </w:rPr>
        <w:t xml:space="preserve">, </w:t>
      </w:r>
      <w:r w:rsidRPr="0099560D">
        <w:rPr>
          <w:rStyle w:val="Siln"/>
          <w:color w:val="404040" w:themeColor="text1" w:themeTint="BF"/>
        </w:rPr>
        <w:t>čistý</w:t>
      </w:r>
      <w:r w:rsidRPr="0099560D">
        <w:rPr>
          <w:color w:val="404040" w:themeColor="text1" w:themeTint="BF"/>
        </w:rPr>
        <w:t xml:space="preserve"> a </w:t>
      </w:r>
      <w:r w:rsidRPr="0099560D">
        <w:rPr>
          <w:rStyle w:val="Siln"/>
          <w:color w:val="404040" w:themeColor="text1" w:themeTint="BF"/>
        </w:rPr>
        <w:t>propojený a automatizovaný</w:t>
      </w:r>
      <w:r w:rsidRPr="0099560D">
        <w:rPr>
          <w:rStyle w:val="Siln"/>
          <w:b w:val="0"/>
          <w:color w:val="404040" w:themeColor="text1" w:themeTint="BF"/>
        </w:rPr>
        <w:t>“</w:t>
      </w:r>
      <w:r w:rsidRPr="0099560D">
        <w:rPr>
          <w:rFonts w:ascii="Calibri" w:hAnsi="Calibri" w:cs="Calibri"/>
          <w:color w:val="404040" w:themeColor="text1" w:themeTint="BF"/>
        </w:rPr>
        <w:t xml:space="preserve"> a vytvořit „</w:t>
      </w:r>
      <w:r w:rsidRPr="0099560D">
        <w:rPr>
          <w:color w:val="404040" w:themeColor="text1" w:themeTint="BF"/>
        </w:rPr>
        <w:t>prostředí, jež umožní podnikům v EU vyrábět nejlepší, nejčistší a nejvíce konkurenceschopné výrobky“.</w:t>
      </w:r>
      <w:r w:rsidRPr="0099560D">
        <w:rPr>
          <w:rFonts w:ascii="Calibri" w:hAnsi="Calibri" w:cs="Calibri"/>
          <w:color w:val="404040" w:themeColor="text1" w:themeTint="BF"/>
        </w:rPr>
        <w:t xml:space="preserve"> (dostupné </w:t>
      </w:r>
      <w:hyperlink r:id="rId8" w:history="1">
        <w:hyperlink r:id="rId9" w:history="1">
          <w:r w:rsidRPr="0099560D">
            <w:rPr>
              <w:rStyle w:val="Hypertextovodkaz"/>
              <w:rFonts w:ascii="Calibri" w:hAnsi="Calibri" w:cs="Calibri"/>
              <w:b/>
              <w:color w:val="00B050"/>
            </w:rPr>
            <w:t>zde</w:t>
          </w:r>
        </w:hyperlink>
      </w:hyperlink>
      <w:r w:rsidRPr="00D606B2">
        <w:rPr>
          <w:rStyle w:val="Hypertextovodkaz"/>
          <w:rFonts w:ascii="Calibri" w:hAnsi="Calibri" w:cs="Calibri"/>
          <w:color w:val="404040" w:themeColor="text1" w:themeTint="BF"/>
          <w:u w:val="none"/>
        </w:rPr>
        <w:t>)</w:t>
      </w:r>
    </w:p>
    <w:p w:rsidR="005942E7" w:rsidRPr="00847611" w:rsidRDefault="005942E7" w:rsidP="005942E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libri" w:hAnsi="Calibri" w:cs="Calibri"/>
          <w:color w:val="404040" w:themeColor="text1" w:themeTint="BF"/>
        </w:rPr>
      </w:pPr>
    </w:p>
    <w:p w:rsidR="005942E7" w:rsidRPr="00847611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 w:rsidRPr="00847611">
        <w:rPr>
          <w:rFonts w:ascii="Calibri" w:hAnsi="Calibri" w:cs="Calibri"/>
          <w:color w:val="404040" w:themeColor="text1" w:themeTint="BF"/>
        </w:rPr>
        <w:t xml:space="preserve">Součástí </w:t>
      </w:r>
      <w:r>
        <w:rPr>
          <w:rFonts w:ascii="Calibri" w:hAnsi="Calibri" w:cs="Calibri"/>
          <w:color w:val="404040" w:themeColor="text1" w:themeTint="BF"/>
        </w:rPr>
        <w:t xml:space="preserve">3. </w:t>
      </w:r>
      <w:r w:rsidRPr="00847611">
        <w:rPr>
          <w:rFonts w:ascii="Calibri" w:hAnsi="Calibri" w:cs="Calibri"/>
          <w:color w:val="404040" w:themeColor="text1" w:themeTint="BF"/>
        </w:rPr>
        <w:t>balíčku jsou</w:t>
      </w:r>
      <w:r>
        <w:rPr>
          <w:rFonts w:ascii="Calibri" w:hAnsi="Calibri" w:cs="Calibri"/>
          <w:color w:val="404040" w:themeColor="text1" w:themeTint="BF"/>
        </w:rPr>
        <w:t xml:space="preserve"> mimo jiné</w:t>
      </w:r>
      <w:r w:rsidRPr="00847611">
        <w:rPr>
          <w:rFonts w:ascii="Calibri" w:hAnsi="Calibri" w:cs="Calibri"/>
          <w:color w:val="404040" w:themeColor="text1" w:themeTint="BF"/>
        </w:rPr>
        <w:t>:</w:t>
      </w:r>
    </w:p>
    <w:p w:rsidR="005942E7" w:rsidRPr="0043600F" w:rsidRDefault="005942E7" w:rsidP="005942E7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color w:val="404040" w:themeColor="text1" w:themeTint="BF"/>
        </w:rPr>
      </w:pPr>
      <w:r>
        <w:rPr>
          <w:color w:val="404040" w:themeColor="text1" w:themeTint="BF"/>
        </w:rPr>
        <w:t>s</w:t>
      </w:r>
      <w:r w:rsidRPr="0043600F">
        <w:rPr>
          <w:color w:val="404040" w:themeColor="text1" w:themeTint="BF"/>
        </w:rPr>
        <w:t xml:space="preserve">dělení nastiňující rámec </w:t>
      </w:r>
      <w:r w:rsidRPr="0043600F">
        <w:rPr>
          <w:rStyle w:val="Siln"/>
          <w:color w:val="404040" w:themeColor="text1" w:themeTint="BF"/>
        </w:rPr>
        <w:t>nové politiky bezpečnosti silničního provozu</w:t>
      </w:r>
      <w:r w:rsidRPr="0043600F">
        <w:rPr>
          <w:color w:val="404040" w:themeColor="text1" w:themeTint="BF"/>
        </w:rPr>
        <w:t xml:space="preserve"> pro období 2020–2030. Toto sdělení doprovází dvě legislativní iniciativy týkající se </w:t>
      </w:r>
      <w:r w:rsidRPr="0043600F">
        <w:rPr>
          <w:rStyle w:val="Siln"/>
          <w:color w:val="404040" w:themeColor="text1" w:themeTint="BF"/>
        </w:rPr>
        <w:t>bezpečnosti vozidel a chodců</w:t>
      </w:r>
      <w:r w:rsidRPr="0043600F">
        <w:rPr>
          <w:color w:val="404040" w:themeColor="text1" w:themeTint="BF"/>
        </w:rPr>
        <w:t xml:space="preserve"> a </w:t>
      </w:r>
      <w:r w:rsidRPr="0043600F">
        <w:rPr>
          <w:rStyle w:val="Siln"/>
          <w:color w:val="404040" w:themeColor="text1" w:themeTint="BF"/>
        </w:rPr>
        <w:t>řízení bezpečnosti infrastruktury</w:t>
      </w:r>
      <w:r w:rsidRPr="0043600F">
        <w:rPr>
          <w:rFonts w:ascii="Calibri" w:hAnsi="Calibri" w:cs="Calibri"/>
          <w:color w:val="404040" w:themeColor="text1" w:themeTint="BF"/>
        </w:rPr>
        <w:t>,</w:t>
      </w:r>
    </w:p>
    <w:p w:rsidR="005942E7" w:rsidRPr="0043600F" w:rsidRDefault="005942E7" w:rsidP="005942E7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sd</w:t>
      </w:r>
      <w:r w:rsidRPr="0043600F">
        <w:rPr>
          <w:color w:val="404040" w:themeColor="text1" w:themeTint="BF"/>
        </w:rPr>
        <w:t>ělení o </w:t>
      </w:r>
      <w:r w:rsidRPr="0043600F">
        <w:rPr>
          <w:rStyle w:val="Siln"/>
          <w:color w:val="404040" w:themeColor="text1" w:themeTint="BF"/>
        </w:rPr>
        <w:t>propojené a automatizované mobilitě</w:t>
      </w:r>
      <w:r w:rsidRPr="0043600F">
        <w:rPr>
          <w:color w:val="404040" w:themeColor="text1" w:themeTint="BF"/>
        </w:rPr>
        <w:t>, aby se Evropa stala světovým lídrem v oblasti autonomních a bezpečných systémů mobility,</w:t>
      </w:r>
    </w:p>
    <w:p w:rsidR="005942E7" w:rsidRPr="0043600F" w:rsidRDefault="005942E7" w:rsidP="00594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404040" w:themeColor="text1" w:themeTint="BF"/>
          <w:szCs w:val="24"/>
          <w:lang w:eastAsia="cs-CZ"/>
        </w:rPr>
      </w:pPr>
      <w:r>
        <w:rPr>
          <w:rFonts w:eastAsia="Times New Roman" w:cstheme="minorHAnsi"/>
          <w:color w:val="404040" w:themeColor="text1" w:themeTint="BF"/>
          <w:szCs w:val="24"/>
          <w:lang w:eastAsia="cs-CZ"/>
        </w:rPr>
        <w:t>l</w:t>
      </w:r>
      <w:r w:rsidRPr="0043600F">
        <w:rPr>
          <w:rFonts w:eastAsia="Times New Roman" w:cstheme="minorHAnsi"/>
          <w:color w:val="404040" w:themeColor="text1" w:themeTint="BF"/>
          <w:szCs w:val="24"/>
          <w:lang w:eastAsia="cs-CZ"/>
        </w:rPr>
        <w:t xml:space="preserve">egislativní iniciativy týkající se </w:t>
      </w:r>
      <w:r w:rsidRPr="0043600F">
        <w:rPr>
          <w:rFonts w:eastAsia="Times New Roman" w:cstheme="minorHAnsi"/>
          <w:b/>
          <w:bCs/>
          <w:color w:val="404040" w:themeColor="text1" w:themeTint="BF"/>
          <w:szCs w:val="24"/>
          <w:lang w:eastAsia="cs-CZ"/>
        </w:rPr>
        <w:t>norem CO</w:t>
      </w:r>
      <w:r w:rsidRPr="0043600F">
        <w:rPr>
          <w:rFonts w:eastAsia="Times New Roman" w:cstheme="minorHAnsi"/>
          <w:b/>
          <w:bCs/>
          <w:color w:val="404040" w:themeColor="text1" w:themeTint="BF"/>
          <w:szCs w:val="24"/>
          <w:vertAlign w:val="subscript"/>
          <w:lang w:eastAsia="cs-CZ"/>
        </w:rPr>
        <w:t>2</w:t>
      </w:r>
      <w:r w:rsidRPr="0043600F">
        <w:rPr>
          <w:rFonts w:eastAsia="Times New Roman" w:cstheme="minorHAnsi"/>
          <w:b/>
          <w:bCs/>
          <w:color w:val="404040" w:themeColor="text1" w:themeTint="BF"/>
          <w:szCs w:val="24"/>
          <w:lang w:eastAsia="cs-CZ"/>
        </w:rPr>
        <w:t xml:space="preserve"> pro nákladní automobily</w:t>
      </w:r>
      <w:r w:rsidRPr="0043600F">
        <w:rPr>
          <w:rFonts w:eastAsia="Times New Roman" w:cstheme="minorHAnsi"/>
          <w:color w:val="404040" w:themeColor="text1" w:themeTint="BF"/>
          <w:szCs w:val="24"/>
          <w:lang w:eastAsia="cs-CZ"/>
        </w:rPr>
        <w:t xml:space="preserve">, jejich aerodynamiky, označování pneumatik a společné metodiky pro srovnávání cen paliva. Tyto iniciativy doplňuje strategický </w:t>
      </w:r>
      <w:r w:rsidRPr="0043600F">
        <w:rPr>
          <w:rFonts w:eastAsia="Times New Roman" w:cstheme="minorHAnsi"/>
          <w:b/>
          <w:bCs/>
          <w:color w:val="404040" w:themeColor="text1" w:themeTint="BF"/>
          <w:szCs w:val="24"/>
          <w:lang w:eastAsia="cs-CZ"/>
        </w:rPr>
        <w:t>akční plán pro baterie</w:t>
      </w:r>
      <w:r w:rsidRPr="0043600F">
        <w:rPr>
          <w:rFonts w:eastAsia="Times New Roman" w:cstheme="minorHAnsi"/>
          <w:color w:val="404040" w:themeColor="text1" w:themeTint="BF"/>
          <w:szCs w:val="24"/>
          <w:lang w:eastAsia="cs-CZ"/>
        </w:rPr>
        <w:t>.</w:t>
      </w:r>
      <w:r>
        <w:rPr>
          <w:rFonts w:eastAsia="Times New Roman" w:cstheme="minorHAnsi"/>
          <w:color w:val="404040" w:themeColor="text1" w:themeTint="BF"/>
          <w:szCs w:val="24"/>
          <w:lang w:eastAsia="cs-CZ"/>
        </w:rPr>
        <w:t xml:space="preserve"> </w:t>
      </w:r>
      <w:r w:rsidRPr="0043600F">
        <w:rPr>
          <w:rFonts w:eastAsia="Times New Roman" w:cstheme="minorHAnsi"/>
          <w:color w:val="404040" w:themeColor="text1" w:themeTint="BF"/>
          <w:szCs w:val="24"/>
          <w:lang w:eastAsia="cs-CZ"/>
        </w:rPr>
        <w:t>Uvedená opatření znovu potvrzují záměr EU snížit emise skleníkových plynů z</w:t>
      </w:r>
      <w:r w:rsidR="00F25D83">
        <w:rPr>
          <w:rFonts w:eastAsia="Times New Roman" w:cstheme="minorHAnsi"/>
          <w:color w:val="404040" w:themeColor="text1" w:themeTint="BF"/>
          <w:szCs w:val="24"/>
          <w:lang w:eastAsia="cs-CZ"/>
        </w:rPr>
        <w:t> </w:t>
      </w:r>
      <w:r w:rsidRPr="0043600F">
        <w:rPr>
          <w:rFonts w:eastAsia="Times New Roman" w:cstheme="minorHAnsi"/>
          <w:color w:val="404040" w:themeColor="text1" w:themeTint="BF"/>
          <w:szCs w:val="24"/>
          <w:lang w:eastAsia="cs-CZ"/>
        </w:rPr>
        <w:t>dopravy a splnit závazky Pařížské dohody.</w:t>
      </w:r>
    </w:p>
    <w:p w:rsidR="005942E7" w:rsidRPr="0043600F" w:rsidRDefault="005942E7" w:rsidP="00594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404040" w:themeColor="text1" w:themeTint="BF"/>
          <w:szCs w:val="24"/>
          <w:lang w:eastAsia="cs-CZ"/>
        </w:rPr>
      </w:pPr>
      <w:r>
        <w:rPr>
          <w:rFonts w:eastAsia="Times New Roman" w:cstheme="minorHAnsi"/>
          <w:color w:val="404040" w:themeColor="text1" w:themeTint="BF"/>
          <w:szCs w:val="24"/>
          <w:lang w:eastAsia="cs-CZ"/>
        </w:rPr>
        <w:t>d</w:t>
      </w:r>
      <w:r w:rsidRPr="0043600F">
        <w:rPr>
          <w:rFonts w:eastAsia="Times New Roman" w:cstheme="minorHAnsi"/>
          <w:color w:val="404040" w:themeColor="text1" w:themeTint="BF"/>
          <w:szCs w:val="24"/>
          <w:lang w:eastAsia="cs-CZ"/>
        </w:rPr>
        <w:t xml:space="preserve">vě legislativní iniciativy vytvářející </w:t>
      </w:r>
      <w:r w:rsidRPr="0043600F">
        <w:rPr>
          <w:rFonts w:eastAsia="Times New Roman" w:cstheme="minorHAnsi"/>
          <w:b/>
          <w:bCs/>
          <w:color w:val="404040" w:themeColor="text1" w:themeTint="BF"/>
          <w:szCs w:val="24"/>
          <w:lang w:eastAsia="cs-CZ"/>
        </w:rPr>
        <w:t>digitální prostředí pro výměnu informací v dopravě</w:t>
      </w:r>
      <w:r w:rsidRPr="0043600F">
        <w:rPr>
          <w:rFonts w:eastAsia="Times New Roman" w:cstheme="minorHAnsi"/>
          <w:color w:val="404040" w:themeColor="text1" w:themeTint="BF"/>
          <w:szCs w:val="24"/>
          <w:lang w:eastAsia="cs-CZ"/>
        </w:rPr>
        <w:t>.</w:t>
      </w:r>
    </w:p>
    <w:p w:rsidR="005942E7" w:rsidRPr="0043600F" w:rsidRDefault="005942E7" w:rsidP="005942E7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color w:val="404040" w:themeColor="text1" w:themeTint="BF"/>
        </w:rPr>
      </w:pPr>
      <w:r>
        <w:rPr>
          <w:rFonts w:eastAsia="Times New Roman" w:cstheme="minorHAnsi"/>
          <w:color w:val="404040" w:themeColor="text1" w:themeTint="BF"/>
          <w:szCs w:val="24"/>
          <w:lang w:eastAsia="cs-CZ"/>
        </w:rPr>
        <w:t>l</w:t>
      </w:r>
      <w:r w:rsidRPr="0043600F">
        <w:rPr>
          <w:rFonts w:eastAsia="Times New Roman" w:cstheme="minorHAnsi"/>
          <w:color w:val="404040" w:themeColor="text1" w:themeTint="BF"/>
          <w:szCs w:val="24"/>
          <w:lang w:eastAsia="cs-CZ"/>
        </w:rPr>
        <w:t xml:space="preserve">egislativní iniciativa pro </w:t>
      </w:r>
      <w:r w:rsidRPr="0043600F">
        <w:rPr>
          <w:rFonts w:eastAsia="Times New Roman" w:cstheme="minorHAnsi"/>
          <w:b/>
          <w:bCs/>
          <w:color w:val="404040" w:themeColor="text1" w:themeTint="BF"/>
          <w:szCs w:val="24"/>
          <w:lang w:eastAsia="cs-CZ"/>
        </w:rPr>
        <w:t>racionalizaci povolovacích postupů u projektů v rámci hlavní transevropské dopravní sítě</w:t>
      </w:r>
      <w:r w:rsidRPr="0043600F">
        <w:rPr>
          <w:rFonts w:eastAsia="Times New Roman" w:cstheme="minorHAnsi"/>
          <w:color w:val="404040" w:themeColor="text1" w:themeTint="BF"/>
          <w:szCs w:val="24"/>
          <w:lang w:eastAsia="cs-CZ"/>
        </w:rPr>
        <w:t xml:space="preserve"> (TEN-T).</w:t>
      </w:r>
      <w:r w:rsidRPr="0043600F">
        <w:rPr>
          <w:rFonts w:ascii="Calibri" w:hAnsi="Calibri" w:cs="Calibri"/>
          <w:color w:val="404040" w:themeColor="text1" w:themeTint="BF"/>
        </w:rPr>
        <w:br w:type="page"/>
      </w:r>
    </w:p>
    <w:p w:rsidR="005942E7" w:rsidRPr="00847611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lastRenderedPageBreak/>
        <w:t>3. b</w:t>
      </w:r>
      <w:r w:rsidRPr="00847611">
        <w:rPr>
          <w:rFonts w:ascii="Calibri" w:hAnsi="Calibri" w:cs="Calibri"/>
          <w:b/>
          <w:color w:val="404040" w:themeColor="text1" w:themeTint="BF"/>
        </w:rPr>
        <w:t xml:space="preserve">alíček mobility </w:t>
      </w:r>
      <w:r w:rsidRPr="00847611">
        <w:rPr>
          <w:rFonts w:ascii="Calibri" w:hAnsi="Calibri" w:cs="Calibri"/>
          <w:color w:val="404040" w:themeColor="text1" w:themeTint="BF"/>
        </w:rPr>
        <w:t>(</w:t>
      </w:r>
      <w:r>
        <w:rPr>
          <w:rFonts w:ascii="Calibri" w:hAnsi="Calibri" w:cs="Calibri"/>
          <w:color w:val="404040" w:themeColor="text1" w:themeTint="BF"/>
        </w:rPr>
        <w:t xml:space="preserve">dokumenty </w:t>
      </w:r>
      <w:r w:rsidRPr="00847611">
        <w:rPr>
          <w:rFonts w:ascii="Calibri" w:hAnsi="Calibri" w:cs="Calibri"/>
          <w:color w:val="404040" w:themeColor="text1" w:themeTint="BF"/>
        </w:rPr>
        <w:t xml:space="preserve">dostupné </w:t>
      </w:r>
      <w:hyperlink r:id="rId10" w:history="1">
        <w:r w:rsidRPr="00847611">
          <w:rPr>
            <w:rStyle w:val="Hypertextovodkaz"/>
            <w:rFonts w:ascii="Calibri" w:hAnsi="Calibri" w:cs="Calibri"/>
            <w:color w:val="0000FF"/>
          </w:rPr>
          <w:t>zde</w:t>
        </w:r>
      </w:hyperlink>
      <w:r w:rsidRPr="004C6C7A">
        <w:rPr>
          <w:rFonts w:ascii="Calibri" w:hAnsi="Calibri" w:cs="Calibri"/>
          <w:color w:val="404040" w:themeColor="text1" w:themeTint="BF"/>
        </w:rPr>
        <w:t xml:space="preserve"> </w:t>
      </w:r>
      <w:r>
        <w:rPr>
          <w:rFonts w:ascii="Calibri" w:hAnsi="Calibri" w:cs="Calibri"/>
          <w:color w:val="404040" w:themeColor="text1" w:themeTint="BF"/>
        </w:rPr>
        <w:t>v</w:t>
      </w:r>
      <w:r w:rsidR="006A6D54">
        <w:rPr>
          <w:rFonts w:ascii="Calibri" w:hAnsi="Calibri" w:cs="Calibri"/>
          <w:color w:val="404040" w:themeColor="text1" w:themeTint="BF"/>
        </w:rPr>
        <w:t> </w:t>
      </w:r>
      <w:r>
        <w:rPr>
          <w:rFonts w:ascii="Calibri" w:hAnsi="Calibri" w:cs="Calibri"/>
          <w:color w:val="404040" w:themeColor="text1" w:themeTint="BF"/>
        </w:rPr>
        <w:t>AJ</w:t>
      </w:r>
      <w:r w:rsidR="006A6D54">
        <w:rPr>
          <w:rFonts w:ascii="Calibri" w:hAnsi="Calibri" w:cs="Calibri"/>
          <w:color w:val="404040" w:themeColor="text1" w:themeTint="BF"/>
        </w:rPr>
        <w:t xml:space="preserve"> +</w:t>
      </w:r>
      <w:r w:rsidR="000275DB">
        <w:rPr>
          <w:rFonts w:ascii="Calibri" w:hAnsi="Calibri" w:cs="Calibri"/>
          <w:color w:val="404040" w:themeColor="text1" w:themeTint="BF"/>
        </w:rPr>
        <w:t xml:space="preserve"> </w:t>
      </w:r>
      <w:r>
        <w:rPr>
          <w:rFonts w:ascii="Calibri" w:hAnsi="Calibri" w:cs="Calibri"/>
          <w:color w:val="404040" w:themeColor="text1" w:themeTint="BF"/>
        </w:rPr>
        <w:t>NJ, FJ</w:t>
      </w:r>
      <w:r w:rsidRPr="00847611">
        <w:rPr>
          <w:rFonts w:ascii="Calibri" w:hAnsi="Calibri" w:cs="Calibri"/>
          <w:color w:val="404040" w:themeColor="text1" w:themeTint="BF"/>
        </w:rPr>
        <w:t>)</w:t>
      </w:r>
    </w:p>
    <w:p w:rsidR="005942E7" w:rsidRPr="00847611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</w:p>
    <w:p w:rsidR="005942E7" w:rsidRPr="00847611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 w:rsidRPr="00847611">
        <w:rPr>
          <w:rFonts w:ascii="Calibri" w:hAnsi="Calibri" w:cs="Calibri"/>
          <w:color w:val="404040" w:themeColor="text1" w:themeTint="BF"/>
          <w:u w:val="single"/>
        </w:rPr>
        <w:t>Dokumenty</w:t>
      </w:r>
      <w:r w:rsidRPr="00847611">
        <w:rPr>
          <w:rFonts w:ascii="Calibri" w:hAnsi="Calibri" w:cs="Calibri"/>
          <w:color w:val="404040" w:themeColor="text1" w:themeTint="BF"/>
        </w:rPr>
        <w:t>:</w:t>
      </w:r>
    </w:p>
    <w:p w:rsidR="005942E7" w:rsidRPr="00603E19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FF0000"/>
        </w:rPr>
      </w:pPr>
      <w:bookmarkStart w:id="0" w:name="_Ref515183578"/>
      <w:r w:rsidRPr="00847611">
        <w:rPr>
          <w:rFonts w:ascii="Calibri" w:hAnsi="Calibri" w:cs="Calibri"/>
          <w:b/>
          <w:color w:val="404040" w:themeColor="text1" w:themeTint="BF"/>
        </w:rPr>
        <w:t>Sdělení EK</w:t>
      </w:r>
      <w:r w:rsidR="00386220">
        <w:rPr>
          <w:rFonts w:ascii="Calibri" w:hAnsi="Calibri" w:cs="Calibri"/>
          <w:b/>
          <w:color w:val="404040" w:themeColor="text1" w:themeTint="BF"/>
        </w:rPr>
        <w:t xml:space="preserve">: </w:t>
      </w:r>
      <w:r w:rsidR="00386220">
        <w:rPr>
          <w:rFonts w:ascii="Calibri" w:hAnsi="Calibri" w:cs="Calibri"/>
          <w:b/>
          <w:color w:val="404040" w:themeColor="text1" w:themeTint="BF"/>
        </w:rPr>
        <w:tab/>
      </w:r>
      <w:r w:rsidR="00386220">
        <w:rPr>
          <w:rFonts w:ascii="Calibri" w:hAnsi="Calibri" w:cs="Calibri"/>
          <w:b/>
          <w:color w:val="404040" w:themeColor="text1" w:themeTint="BF"/>
        </w:rPr>
        <w:tab/>
      </w:r>
      <w:r w:rsidR="00386220">
        <w:rPr>
          <w:rFonts w:ascii="Calibri" w:hAnsi="Calibri" w:cs="Calibri"/>
          <w:b/>
          <w:color w:val="404040" w:themeColor="text1" w:themeTint="BF"/>
        </w:rPr>
        <w:tab/>
      </w:r>
      <w:r w:rsidR="00386220">
        <w:rPr>
          <w:rFonts w:ascii="Calibri" w:hAnsi="Calibri" w:cs="Calibri"/>
          <w:b/>
          <w:color w:val="404040" w:themeColor="text1" w:themeTint="BF"/>
        </w:rPr>
        <w:tab/>
      </w:r>
      <w:r w:rsidR="00386220">
        <w:rPr>
          <w:rFonts w:ascii="Calibri" w:hAnsi="Calibri" w:cs="Calibri"/>
          <w:b/>
          <w:color w:val="404040" w:themeColor="text1" w:themeTint="BF"/>
        </w:rPr>
        <w:tab/>
      </w:r>
      <w:r w:rsidR="00386220">
        <w:rPr>
          <w:rFonts w:ascii="Calibri" w:hAnsi="Calibri" w:cs="Calibri"/>
          <w:b/>
          <w:color w:val="404040" w:themeColor="text1" w:themeTint="BF"/>
        </w:rPr>
        <w:tab/>
      </w:r>
      <w:r w:rsidR="00386220">
        <w:rPr>
          <w:rFonts w:ascii="Calibri" w:hAnsi="Calibri" w:cs="Calibri"/>
          <w:b/>
          <w:color w:val="404040" w:themeColor="text1" w:themeTint="BF"/>
        </w:rPr>
        <w:tab/>
      </w:r>
      <w:r w:rsidR="00386220">
        <w:rPr>
          <w:rFonts w:ascii="Calibri" w:hAnsi="Calibri" w:cs="Calibri"/>
          <w:b/>
          <w:color w:val="404040" w:themeColor="text1" w:themeTint="BF"/>
        </w:rPr>
        <w:tab/>
      </w:r>
      <w:r w:rsidR="00386220">
        <w:rPr>
          <w:rFonts w:ascii="Calibri" w:hAnsi="Calibri" w:cs="Calibri"/>
          <w:b/>
          <w:color w:val="404040" w:themeColor="text1" w:themeTint="BF"/>
        </w:rPr>
        <w:tab/>
      </w:r>
      <w:r w:rsidR="00603E19">
        <w:rPr>
          <w:rFonts w:ascii="Calibri" w:hAnsi="Calibri" w:cs="Calibri"/>
          <w:b/>
          <w:color w:val="404040" w:themeColor="text1" w:themeTint="BF"/>
        </w:rPr>
        <w:tab/>
      </w:r>
      <w:r w:rsidR="00386220">
        <w:rPr>
          <w:rFonts w:ascii="Calibri" w:hAnsi="Calibri" w:cs="Calibri"/>
          <w:color w:val="404040" w:themeColor="text1" w:themeTint="BF"/>
        </w:rPr>
        <w:t xml:space="preserve"> </w:t>
      </w:r>
      <w:r w:rsidR="00386220" w:rsidRPr="00603E19">
        <w:rPr>
          <w:rFonts w:ascii="Calibri" w:hAnsi="Calibri" w:cs="Calibri"/>
          <w:color w:val="FF0000"/>
        </w:rPr>
        <w:fldChar w:fldCharType="begin"/>
      </w:r>
      <w:r w:rsidR="00386220" w:rsidRPr="00603E19">
        <w:rPr>
          <w:rFonts w:ascii="Calibri" w:hAnsi="Calibri" w:cs="Calibri"/>
          <w:color w:val="FF0000"/>
        </w:rPr>
        <w:instrText xml:space="preserve"> REF _Ref515183559 \r \h </w:instrText>
      </w:r>
      <w:r w:rsidR="00386220" w:rsidRPr="00603E19">
        <w:rPr>
          <w:rFonts w:ascii="Calibri" w:hAnsi="Calibri" w:cs="Calibri"/>
          <w:color w:val="FF0000"/>
        </w:rPr>
      </w:r>
      <w:r w:rsidR="00386220" w:rsidRPr="00603E19">
        <w:rPr>
          <w:rFonts w:ascii="Calibri" w:hAnsi="Calibri" w:cs="Calibri"/>
          <w:color w:val="FF0000"/>
        </w:rPr>
        <w:fldChar w:fldCharType="separate"/>
      </w:r>
      <w:r w:rsidR="00603E19">
        <w:rPr>
          <w:rFonts w:ascii="Calibri" w:hAnsi="Calibri" w:cs="Calibri"/>
          <w:color w:val="FF0000"/>
        </w:rPr>
        <w:t>přejít na 1</w:t>
      </w:r>
      <w:r w:rsidR="00386220" w:rsidRPr="00603E19">
        <w:rPr>
          <w:rFonts w:ascii="Calibri" w:hAnsi="Calibri" w:cs="Calibri"/>
          <w:color w:val="FF0000"/>
        </w:rPr>
        <w:t>)</w:t>
      </w:r>
      <w:r w:rsidR="00386220" w:rsidRPr="00603E19">
        <w:rPr>
          <w:rFonts w:ascii="Calibri" w:hAnsi="Calibri" w:cs="Calibri"/>
          <w:color w:val="FF0000"/>
        </w:rPr>
        <w:fldChar w:fldCharType="end"/>
      </w:r>
      <w:bookmarkEnd w:id="0"/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  <w:hyperlink r:id="rId11" w:history="1">
        <w:r w:rsidR="005942E7" w:rsidRPr="00BD0BEF">
          <w:rPr>
            <w:rStyle w:val="Hypertextovodkaz"/>
            <w:rFonts w:ascii="Calibri" w:hAnsi="Calibri" w:cs="Calibri"/>
            <w:b/>
            <w:sz w:val="20"/>
            <w:szCs w:val="20"/>
          </w:rPr>
          <w:t>Sdělení EK: Evropa v pohybu: Udržitelná mobilita pro Evropu: bezpečná, propojená a čistá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12" w:history="1">
        <w:r w:rsidR="005942E7" w:rsidRPr="00BD0BEF">
          <w:rPr>
            <w:rStyle w:val="Hypertextovodkaz"/>
            <w:rFonts w:ascii="Calibri" w:hAnsi="Calibri" w:cs="Calibri"/>
            <w:sz w:val="20"/>
            <w:szCs w:val="20"/>
          </w:rPr>
          <w:t>Příloha I: Strategický akční plán bezpečnosti silničního provozu</w:t>
        </w:r>
      </w:hyperlink>
      <w:r w:rsidR="005942E7" w:rsidRPr="00BD0BEF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13" w:history="1">
        <w:r w:rsidR="005942E7" w:rsidRPr="00BD0BEF">
          <w:rPr>
            <w:rStyle w:val="Hypertextovodkaz"/>
            <w:rFonts w:ascii="Calibri" w:hAnsi="Calibri" w:cs="Calibri"/>
            <w:sz w:val="20"/>
            <w:szCs w:val="20"/>
          </w:rPr>
          <w:t>Příloha II: Strategický akční plán pro baterie</w:t>
        </w:r>
      </w:hyperlink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  <w:hyperlink r:id="rId14" w:history="1">
        <w:r w:rsidR="005942E7" w:rsidRPr="00BD0BEF">
          <w:rPr>
            <w:rStyle w:val="Hypertextovodkaz"/>
            <w:rFonts w:ascii="Calibri" w:hAnsi="Calibri" w:cs="Calibri"/>
            <w:b/>
            <w:sz w:val="20"/>
            <w:szCs w:val="20"/>
          </w:rPr>
          <w:t>Sdělení EK: Evropa, která chrání: čistý vzduch pro všechny</w:t>
        </w:r>
      </w:hyperlink>
    </w:p>
    <w:p w:rsidR="005942E7" w:rsidRPr="00847611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t>Bezpečnost silničního provozu</w:t>
      </w:r>
      <w:r w:rsidR="00F7290A">
        <w:rPr>
          <w:rFonts w:ascii="Calibri" w:hAnsi="Calibri" w:cs="Calibri"/>
          <w:b/>
          <w:color w:val="404040" w:themeColor="text1" w:themeTint="BF"/>
        </w:rPr>
        <w:tab/>
      </w:r>
      <w:r w:rsidR="00F7290A">
        <w:rPr>
          <w:rFonts w:ascii="Calibri" w:hAnsi="Calibri" w:cs="Calibri"/>
          <w:b/>
          <w:color w:val="404040" w:themeColor="text1" w:themeTint="BF"/>
        </w:rPr>
        <w:tab/>
      </w:r>
      <w:r w:rsidR="00F7290A">
        <w:rPr>
          <w:rFonts w:ascii="Calibri" w:hAnsi="Calibri" w:cs="Calibri"/>
          <w:b/>
          <w:color w:val="404040" w:themeColor="text1" w:themeTint="BF"/>
        </w:rPr>
        <w:tab/>
      </w:r>
      <w:r w:rsidR="00F7290A">
        <w:rPr>
          <w:rFonts w:ascii="Calibri" w:hAnsi="Calibri" w:cs="Calibri"/>
          <w:b/>
          <w:color w:val="404040" w:themeColor="text1" w:themeTint="BF"/>
        </w:rPr>
        <w:tab/>
      </w:r>
      <w:r w:rsidR="00F7290A">
        <w:rPr>
          <w:rFonts w:ascii="Calibri" w:hAnsi="Calibri" w:cs="Calibri"/>
          <w:b/>
          <w:color w:val="404040" w:themeColor="text1" w:themeTint="BF"/>
        </w:rPr>
        <w:tab/>
      </w:r>
      <w:r w:rsidR="00F7290A">
        <w:rPr>
          <w:rFonts w:ascii="Calibri" w:hAnsi="Calibri" w:cs="Calibri"/>
          <w:b/>
          <w:color w:val="404040" w:themeColor="text1" w:themeTint="BF"/>
        </w:rPr>
        <w:tab/>
      </w:r>
      <w:r w:rsidR="00F7290A">
        <w:rPr>
          <w:rFonts w:ascii="Calibri" w:hAnsi="Calibri" w:cs="Calibri"/>
          <w:b/>
          <w:color w:val="404040" w:themeColor="text1" w:themeTint="BF"/>
        </w:rPr>
        <w:tab/>
      </w:r>
      <w:r w:rsidR="00F7290A">
        <w:rPr>
          <w:rFonts w:ascii="Calibri" w:hAnsi="Calibri" w:cs="Calibri"/>
          <w:b/>
          <w:color w:val="404040" w:themeColor="text1" w:themeTint="BF"/>
        </w:rPr>
        <w:tab/>
      </w:r>
      <w:r w:rsidR="00F7290A">
        <w:rPr>
          <w:rFonts w:ascii="Calibri" w:hAnsi="Calibri" w:cs="Calibri"/>
          <w:b/>
          <w:color w:val="404040" w:themeColor="text1" w:themeTint="BF"/>
        </w:rPr>
        <w:fldChar w:fldCharType="begin"/>
      </w:r>
      <w:r w:rsidR="00F7290A">
        <w:rPr>
          <w:rFonts w:ascii="Calibri" w:hAnsi="Calibri" w:cs="Calibri"/>
          <w:b/>
          <w:color w:val="404040" w:themeColor="text1" w:themeTint="BF"/>
        </w:rPr>
        <w:instrText xml:space="preserve"> REF _Ref515184314 \h </w:instrText>
      </w:r>
      <w:r w:rsidR="00F7290A">
        <w:rPr>
          <w:rFonts w:ascii="Calibri" w:hAnsi="Calibri" w:cs="Calibri"/>
          <w:b/>
          <w:color w:val="404040" w:themeColor="text1" w:themeTint="BF"/>
        </w:rPr>
      </w:r>
      <w:r w:rsidR="00F7290A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F7290A">
        <w:rPr>
          <w:rFonts w:ascii="Calibri" w:hAnsi="Calibri" w:cs="Calibri"/>
          <w:color w:val="FF0000"/>
        </w:rPr>
        <w:t>přejít na 2)</w:t>
      </w:r>
      <w:r w:rsidR="00F7290A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BD0BEF" w:rsidRDefault="005942E7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D0BEF">
        <w:rPr>
          <w:color w:val="404040" w:themeColor="text1" w:themeTint="BF"/>
          <w:sz w:val="20"/>
          <w:szCs w:val="20"/>
        </w:rPr>
        <w:t>Hlavní přístup: Viz kapitola 2 "Evropa v pohybu: Udržitelná mobilita pro Evropu: bezpečná, propojená a čistá"</w:t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15" w:history="1">
        <w:r w:rsidR="005942E7" w:rsidRPr="00BD0BEF">
          <w:rPr>
            <w:rStyle w:val="Hypertextovodkaz"/>
            <w:rFonts w:ascii="Calibri" w:hAnsi="Calibri" w:cs="Calibri"/>
            <w:color w:val="4040FF" w:themeColor="hyperlink" w:themeTint="BF"/>
            <w:sz w:val="20"/>
            <w:szCs w:val="20"/>
          </w:rPr>
          <w:t>Strategický akční plán pro bezpečnost silničního provozu</w:t>
        </w:r>
      </w:hyperlink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  <w:hyperlink r:id="rId16" w:history="1">
        <w:r w:rsidR="005942E7" w:rsidRPr="00BD0BEF">
          <w:rPr>
            <w:rStyle w:val="Hypertextovodkaz"/>
            <w:rFonts w:ascii="Calibri" w:hAnsi="Calibri" w:cs="Calibri"/>
            <w:b/>
            <w:color w:val="4040FF" w:themeColor="hyperlink" w:themeTint="BF"/>
            <w:sz w:val="20"/>
            <w:szCs w:val="20"/>
          </w:rPr>
          <w:t>Návrh nařízení o požadavcích na schvalování typu motorových vozidel a jejich přívěsů a systémů, konstrukčních částí a samostatných technických celků určených pro tato vozidla z hlediska</w:t>
        </w:r>
        <w:r w:rsidR="005942E7" w:rsidRPr="00BD0BEF">
          <w:rPr>
            <w:rStyle w:val="Hypertextovodkaz"/>
            <w:rFonts w:ascii="Calibri" w:hAnsi="Calibri" w:cs="Calibri"/>
            <w:b/>
            <w:color w:val="4040FF"/>
            <w:sz w:val="20"/>
            <w:szCs w:val="20"/>
          </w:rPr>
          <w:t xml:space="preserve"> jejich obecné bezpečnosti a ochrany cestujících v motorových vozidlech a zranitelných účastníků</w:t>
        </w:r>
        <w:r w:rsidR="005942E7" w:rsidRPr="00BD0BEF">
          <w:rPr>
            <w:rStyle w:val="Hypertextovodkaz"/>
            <w:rFonts w:ascii="Calibri" w:hAnsi="Calibri" w:cs="Calibri"/>
            <w:b/>
            <w:color w:val="4040FF" w:themeColor="hyperlink" w:themeTint="BF"/>
            <w:sz w:val="20"/>
            <w:szCs w:val="20"/>
          </w:rPr>
          <w:t xml:space="preserve"> silničního provozu, kterým se mění nařízení (EU) 2018 / ... a kterým se zrušují nařízení (ES) č. 78/2009, (ES) č. 79/2009 a (ES) č. 661/2009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17" w:history="1">
        <w:r w:rsidR="005942E7" w:rsidRPr="00BD0BEF">
          <w:rPr>
            <w:rStyle w:val="Hypertextovodkaz"/>
            <w:rFonts w:ascii="Calibri" w:hAnsi="Calibri" w:cs="Calibri"/>
            <w:color w:val="4040FF" w:themeColor="hyperlink" w:themeTint="BF"/>
            <w:sz w:val="20"/>
            <w:szCs w:val="20"/>
          </w:rPr>
          <w:t>Přílohy</w:t>
        </w:r>
      </w:hyperlink>
    </w:p>
    <w:p w:rsidR="005942E7" w:rsidRPr="00676A5C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 w:rsidRPr="00676A5C">
        <w:rPr>
          <w:b/>
          <w:color w:val="404040" w:themeColor="text1" w:themeTint="BF"/>
        </w:rPr>
        <w:t>Revize směrnice o řízení bezpečnosti silniční infrastruktury</w:t>
      </w:r>
      <w:r w:rsidR="00D700C1">
        <w:rPr>
          <w:b/>
          <w:color w:val="404040" w:themeColor="text1" w:themeTint="BF"/>
        </w:rPr>
        <w:tab/>
      </w:r>
      <w:r w:rsidR="00D700C1">
        <w:rPr>
          <w:b/>
          <w:color w:val="404040" w:themeColor="text1" w:themeTint="BF"/>
        </w:rPr>
        <w:tab/>
      </w:r>
      <w:r w:rsidR="00D700C1">
        <w:rPr>
          <w:b/>
          <w:color w:val="404040" w:themeColor="text1" w:themeTint="BF"/>
        </w:rPr>
        <w:tab/>
      </w:r>
      <w:r w:rsidR="00D700C1">
        <w:rPr>
          <w:b/>
          <w:color w:val="404040" w:themeColor="text1" w:themeTint="BF"/>
        </w:rPr>
        <w:tab/>
      </w:r>
      <w:r w:rsidR="00D700C1" w:rsidRPr="00D700C1">
        <w:rPr>
          <w:color w:val="FF0000"/>
        </w:rPr>
        <w:fldChar w:fldCharType="begin"/>
      </w:r>
      <w:r w:rsidR="00D700C1" w:rsidRPr="00D700C1">
        <w:rPr>
          <w:color w:val="FF0000"/>
        </w:rPr>
        <w:instrText xml:space="preserve"> PAGEREF _Ref515184416 \h </w:instrText>
      </w:r>
      <w:r w:rsidR="00D700C1" w:rsidRPr="00D700C1">
        <w:rPr>
          <w:color w:val="FF0000"/>
        </w:rPr>
      </w:r>
      <w:r w:rsidR="00D700C1" w:rsidRPr="00D700C1">
        <w:rPr>
          <w:color w:val="FF0000"/>
        </w:rPr>
        <w:fldChar w:fldCharType="separate"/>
      </w:r>
      <w:r w:rsidR="00D700C1" w:rsidRPr="00D700C1">
        <w:rPr>
          <w:noProof/>
          <w:color w:val="FF0000"/>
        </w:rPr>
        <w:t>přejít na 3)</w:t>
      </w:r>
      <w:r w:rsidR="00D700C1" w:rsidRPr="00D700C1">
        <w:rPr>
          <w:color w:val="FF0000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  <w:hyperlink r:id="rId18" w:history="1">
        <w:r w:rsidR="005942E7" w:rsidRPr="00BD0BEF">
          <w:rPr>
            <w:rStyle w:val="Hypertextovodkaz"/>
            <w:rFonts w:ascii="Calibri" w:hAnsi="Calibri" w:cs="Calibri"/>
            <w:b/>
            <w:sz w:val="20"/>
            <w:szCs w:val="20"/>
          </w:rPr>
          <w:t>Návrh směrnice, kterou se mění směrnice 2008/96/ES o řízení bezpečnosti silniční infrastruktury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19" w:history="1">
        <w:r w:rsidR="005942E7" w:rsidRPr="00BD0BEF">
          <w:rPr>
            <w:rStyle w:val="Hypertextovodkaz"/>
            <w:rFonts w:ascii="Calibri" w:hAnsi="Calibri" w:cs="Calibri"/>
            <w:sz w:val="20"/>
            <w:szCs w:val="20"/>
          </w:rPr>
          <w:t>Příloha k návrhu</w:t>
        </w:r>
      </w:hyperlink>
    </w:p>
    <w:p w:rsidR="005942E7" w:rsidRPr="00BD0BEF" w:rsidRDefault="005942E7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D0BEF">
        <w:rPr>
          <w:rFonts w:ascii="Calibri" w:hAnsi="Calibri" w:cs="Calibri"/>
          <w:color w:val="404040" w:themeColor="text1" w:themeTint="BF"/>
          <w:sz w:val="20"/>
          <w:szCs w:val="20"/>
        </w:rPr>
        <w:t xml:space="preserve">Posouzení dopadů – </w:t>
      </w:r>
      <w:hyperlink r:id="rId20" w:history="1">
        <w:r w:rsidRPr="00BD0BEF">
          <w:rPr>
            <w:rStyle w:val="Hypertextovodkaz"/>
            <w:rFonts w:ascii="Calibri" w:hAnsi="Calibri" w:cs="Calibri"/>
            <w:sz w:val="20"/>
            <w:szCs w:val="20"/>
          </w:rPr>
          <w:t>část I</w:t>
        </w:r>
      </w:hyperlink>
      <w:r w:rsidRPr="00BD0BEF">
        <w:rPr>
          <w:rFonts w:ascii="Calibri" w:hAnsi="Calibri" w:cs="Calibri"/>
          <w:color w:val="404040" w:themeColor="text1" w:themeTint="BF"/>
          <w:sz w:val="20"/>
          <w:szCs w:val="20"/>
        </w:rPr>
        <w:t xml:space="preserve"> a </w:t>
      </w:r>
      <w:hyperlink r:id="rId21" w:history="1">
        <w:r w:rsidRPr="00BD0BEF">
          <w:rPr>
            <w:rStyle w:val="Hypertextovodkaz"/>
            <w:rFonts w:ascii="Calibri" w:hAnsi="Calibri" w:cs="Calibri"/>
            <w:sz w:val="20"/>
            <w:szCs w:val="20"/>
          </w:rPr>
          <w:t>část II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22" w:history="1">
        <w:r w:rsidR="005942E7" w:rsidRPr="00BD0BEF">
          <w:rPr>
            <w:rStyle w:val="Hypertextovodkaz"/>
            <w:rFonts w:ascii="Calibri" w:hAnsi="Calibri" w:cs="Calibri"/>
            <w:sz w:val="20"/>
            <w:szCs w:val="20"/>
          </w:rPr>
          <w:t>Shrnutí posouzení dopadů</w:t>
        </w:r>
      </w:hyperlink>
    </w:p>
    <w:p w:rsidR="005942E7" w:rsidRPr="00BD0BEF" w:rsidRDefault="005942E7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D0BEF">
        <w:rPr>
          <w:rFonts w:ascii="Calibri" w:hAnsi="Calibri" w:cs="Calibri"/>
          <w:color w:val="404040" w:themeColor="text1" w:themeTint="BF"/>
          <w:sz w:val="20"/>
          <w:szCs w:val="20"/>
        </w:rPr>
        <w:t xml:space="preserve">Hodnocení ex-post – studie k účinnosti a zdokonalení legislativního rámce EU pro řízení bezpečnosti silniční infrastruktury (směrnice 2008/96/ES): </w:t>
      </w:r>
      <w:hyperlink r:id="rId23" w:history="1">
        <w:r w:rsidRPr="00BD0BEF">
          <w:rPr>
            <w:rStyle w:val="Hypertextovodkaz"/>
            <w:rFonts w:ascii="Calibri" w:hAnsi="Calibri" w:cs="Calibri"/>
            <w:sz w:val="20"/>
            <w:szCs w:val="20"/>
          </w:rPr>
          <w:t>závěrečná zpráva</w:t>
        </w:r>
      </w:hyperlink>
    </w:p>
    <w:p w:rsidR="005942E7" w:rsidRPr="00BD0BEF" w:rsidRDefault="005942E7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BD0BEF">
        <w:rPr>
          <w:rFonts w:ascii="Calibri" w:hAnsi="Calibri" w:cs="Calibri"/>
          <w:color w:val="404040" w:themeColor="text1" w:themeTint="BF"/>
          <w:sz w:val="20"/>
          <w:szCs w:val="20"/>
        </w:rPr>
        <w:t>Revize bezpečnostních směrnic pro vozidla a pro bezpečnost chodců</w:t>
      </w:r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24" w:history="1">
        <w:r w:rsidR="005942E7" w:rsidRPr="00BD0BEF">
          <w:rPr>
            <w:rStyle w:val="Hypertextovodkaz"/>
            <w:rFonts w:ascii="Calibri" w:hAnsi="Calibri" w:cs="Calibri"/>
            <w:sz w:val="20"/>
            <w:szCs w:val="20"/>
          </w:rPr>
          <w:t>Studie o implementaci a účincích směrnice 2004/54/ES o minimálních bezpečnostních požadavcích na tunely transevropské silniční sítě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25" w:history="1">
        <w:r w:rsidR="005942E7" w:rsidRPr="00BD0BEF">
          <w:rPr>
            <w:rStyle w:val="Hypertextovodkaz"/>
            <w:rFonts w:ascii="Calibri" w:hAnsi="Calibri" w:cs="Calibri"/>
            <w:sz w:val="20"/>
            <w:szCs w:val="20"/>
          </w:rPr>
          <w:t>Shrnutí studie</w:t>
        </w:r>
      </w:hyperlink>
    </w:p>
    <w:p w:rsidR="005942E7" w:rsidRPr="00847611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t>Propojená a automatizovaná</w:t>
      </w:r>
      <w:r w:rsidRPr="00847611">
        <w:rPr>
          <w:rFonts w:ascii="Calibri" w:hAnsi="Calibri" w:cs="Calibri"/>
          <w:b/>
          <w:color w:val="404040" w:themeColor="text1" w:themeTint="BF"/>
        </w:rPr>
        <w:t xml:space="preserve"> doprava</w:t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 w:rsidRPr="00F06D3C">
        <w:rPr>
          <w:rFonts w:ascii="Calibri" w:hAnsi="Calibri" w:cs="Calibri"/>
          <w:color w:val="FF0000"/>
        </w:rPr>
        <w:fldChar w:fldCharType="begin"/>
      </w:r>
      <w:r w:rsidR="00F06D3C" w:rsidRPr="00F06D3C">
        <w:rPr>
          <w:rFonts w:ascii="Calibri" w:hAnsi="Calibri" w:cs="Calibri"/>
          <w:color w:val="FF0000"/>
        </w:rPr>
        <w:instrText xml:space="preserve"> PAGEREF _Ref515184502 \h </w:instrText>
      </w:r>
      <w:r w:rsidR="00F06D3C" w:rsidRPr="00F06D3C">
        <w:rPr>
          <w:rFonts w:ascii="Calibri" w:hAnsi="Calibri" w:cs="Calibri"/>
          <w:color w:val="FF0000"/>
        </w:rPr>
      </w:r>
      <w:r w:rsidR="00F06D3C" w:rsidRPr="00F06D3C">
        <w:rPr>
          <w:rFonts w:ascii="Calibri" w:hAnsi="Calibri" w:cs="Calibri"/>
          <w:color w:val="FF0000"/>
        </w:rPr>
        <w:fldChar w:fldCharType="separate"/>
      </w:r>
      <w:r w:rsidR="00F06D3C" w:rsidRPr="00F06D3C">
        <w:rPr>
          <w:rFonts w:ascii="Calibri" w:hAnsi="Calibri" w:cs="Calibri"/>
          <w:noProof/>
          <w:color w:val="FF0000"/>
        </w:rPr>
        <w:t>přejít na 4)</w:t>
      </w:r>
      <w:r w:rsidR="00F06D3C" w:rsidRPr="00F06D3C">
        <w:rPr>
          <w:rFonts w:ascii="Calibri" w:hAnsi="Calibri" w:cs="Calibri"/>
          <w:color w:val="FF0000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26" w:history="1">
        <w:r w:rsidR="005942E7" w:rsidRPr="00BD0BEF">
          <w:rPr>
            <w:rStyle w:val="Hypertextovodkaz"/>
            <w:rFonts w:ascii="Calibri" w:hAnsi="Calibri" w:cs="Calibri"/>
            <w:b/>
            <w:sz w:val="20"/>
          </w:rPr>
          <w:t>Sdělení EK k cestě k automatizované mobilitě: strategie EU pro mobilitu budoucnosti</w:t>
        </w:r>
      </w:hyperlink>
    </w:p>
    <w:p w:rsidR="005942E7" w:rsidRPr="00847611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t>Jednotný portál evropského námořního prostředí</w:t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fldChar w:fldCharType="begin"/>
      </w:r>
      <w:r w:rsidR="00F06D3C">
        <w:rPr>
          <w:rFonts w:ascii="Calibri" w:hAnsi="Calibri" w:cs="Calibri"/>
          <w:b/>
          <w:color w:val="404040" w:themeColor="text1" w:themeTint="BF"/>
        </w:rPr>
        <w:instrText xml:space="preserve"> PAGEREF _Ref515184555 \h </w:instrText>
      </w:r>
      <w:r w:rsidR="00F06D3C">
        <w:rPr>
          <w:rFonts w:ascii="Calibri" w:hAnsi="Calibri" w:cs="Calibri"/>
          <w:b/>
          <w:color w:val="404040" w:themeColor="text1" w:themeTint="BF"/>
        </w:rPr>
      </w:r>
      <w:r w:rsidR="00F06D3C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F06D3C" w:rsidRPr="00F06D3C">
        <w:rPr>
          <w:rFonts w:ascii="Calibri" w:hAnsi="Calibri" w:cs="Calibri"/>
          <w:noProof/>
          <w:color w:val="FF0000"/>
        </w:rPr>
        <w:t xml:space="preserve">přejít na </w:t>
      </w:r>
      <w:r w:rsidR="00F06D3C">
        <w:rPr>
          <w:rFonts w:ascii="Calibri" w:hAnsi="Calibri" w:cs="Calibri"/>
          <w:noProof/>
          <w:color w:val="FF0000"/>
        </w:rPr>
        <w:t>5</w:t>
      </w:r>
      <w:r w:rsidR="00F06D3C" w:rsidRPr="00F06D3C">
        <w:rPr>
          <w:rFonts w:ascii="Calibri" w:hAnsi="Calibri" w:cs="Calibri"/>
          <w:noProof/>
          <w:color w:val="FF0000"/>
        </w:rPr>
        <w:t>)</w:t>
      </w:r>
      <w:r w:rsidR="00F06D3C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  <w:hyperlink r:id="rId27" w:history="1">
        <w:r w:rsidR="005942E7" w:rsidRPr="00BD0BEF">
          <w:rPr>
            <w:rStyle w:val="Hypertextovodkaz"/>
            <w:rFonts w:ascii="Calibri" w:hAnsi="Calibri" w:cs="Calibri"/>
            <w:b/>
            <w:sz w:val="20"/>
            <w:szCs w:val="20"/>
          </w:rPr>
          <w:t>Návrh nařízení, kterým se zřizuje jednotný portál pro evropské námořní prostředí a kterým se zrušuje směrnice 2010/65/EU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28" w:history="1">
        <w:r w:rsidR="005942E7" w:rsidRPr="00BD0BEF">
          <w:rPr>
            <w:rStyle w:val="Hypertextovodkaz"/>
            <w:rFonts w:ascii="Calibri" w:hAnsi="Calibri" w:cs="Calibri"/>
            <w:sz w:val="20"/>
            <w:szCs w:val="20"/>
          </w:rPr>
          <w:t>Příloha k nařízení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29" w:history="1">
        <w:r w:rsidR="005942E7" w:rsidRPr="00BD0BEF">
          <w:rPr>
            <w:rStyle w:val="Hypertextovodkaz"/>
            <w:rFonts w:ascii="Calibri" w:hAnsi="Calibri" w:cs="Calibri"/>
            <w:sz w:val="20"/>
            <w:szCs w:val="20"/>
          </w:rPr>
          <w:t>Posouzení dopadů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  <w:szCs w:val="20"/>
        </w:rPr>
      </w:pPr>
      <w:hyperlink r:id="rId30" w:history="1">
        <w:r w:rsidR="005942E7" w:rsidRPr="00BD0BEF">
          <w:rPr>
            <w:rStyle w:val="Hypertextovodkaz"/>
            <w:rFonts w:ascii="Calibri" w:hAnsi="Calibri" w:cs="Calibri"/>
            <w:sz w:val="20"/>
            <w:szCs w:val="20"/>
          </w:rPr>
          <w:t>Manažerské shrnutí posouzení dopadů</w:t>
        </w:r>
      </w:hyperlink>
    </w:p>
    <w:p w:rsidR="005942E7" w:rsidRPr="00847611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t>Kontrola účelnosti legislativního rámce námořní dopravy</w:t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fldChar w:fldCharType="begin"/>
      </w:r>
      <w:r w:rsidR="00F06D3C">
        <w:rPr>
          <w:rFonts w:ascii="Calibri" w:hAnsi="Calibri" w:cs="Calibri"/>
          <w:b/>
          <w:color w:val="404040" w:themeColor="text1" w:themeTint="BF"/>
        </w:rPr>
        <w:instrText xml:space="preserve"> PAGEREF _Ref515184579 \h </w:instrText>
      </w:r>
      <w:r w:rsidR="00F06D3C">
        <w:rPr>
          <w:rFonts w:ascii="Calibri" w:hAnsi="Calibri" w:cs="Calibri"/>
          <w:b/>
          <w:color w:val="404040" w:themeColor="text1" w:themeTint="BF"/>
        </w:rPr>
      </w:r>
      <w:r w:rsidR="00F06D3C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F06D3C" w:rsidRPr="00F06D3C">
        <w:rPr>
          <w:rFonts w:ascii="Calibri" w:hAnsi="Calibri" w:cs="Calibri"/>
          <w:noProof/>
          <w:color w:val="FF0000"/>
        </w:rPr>
        <w:t xml:space="preserve">přejít na </w:t>
      </w:r>
      <w:r w:rsidR="00F06D3C">
        <w:rPr>
          <w:rFonts w:ascii="Calibri" w:hAnsi="Calibri" w:cs="Calibri"/>
          <w:noProof/>
          <w:color w:val="FF0000"/>
        </w:rPr>
        <w:t>6</w:t>
      </w:r>
      <w:r w:rsidR="00F06D3C" w:rsidRPr="00F06D3C">
        <w:rPr>
          <w:rFonts w:ascii="Calibri" w:hAnsi="Calibri" w:cs="Calibri"/>
          <w:noProof/>
          <w:color w:val="FF0000"/>
        </w:rPr>
        <w:t>)</w:t>
      </w:r>
      <w:r w:rsidR="00F06D3C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31" w:history="1">
        <w:r w:rsidR="005942E7" w:rsidRPr="00BD0BEF">
          <w:rPr>
            <w:rStyle w:val="Hypertextovodkaz"/>
            <w:rFonts w:ascii="Calibri" w:hAnsi="Calibri" w:cs="Calibri"/>
            <w:b/>
            <w:sz w:val="20"/>
          </w:rPr>
          <w:t>Kontrola účelnosti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32" w:history="1">
        <w:r w:rsidR="005942E7" w:rsidRPr="00BD0BEF">
          <w:rPr>
            <w:rStyle w:val="Hypertextovodkaz"/>
            <w:rFonts w:ascii="Calibri" w:hAnsi="Calibri" w:cs="Calibri"/>
            <w:sz w:val="20"/>
          </w:rPr>
          <w:t>Manažerské shrnutí</w:t>
        </w:r>
      </w:hyperlink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33" w:history="1">
        <w:r w:rsidR="005942E7" w:rsidRPr="00BD0BEF">
          <w:rPr>
            <w:rStyle w:val="Hypertextovodkaz"/>
            <w:rFonts w:ascii="Calibri" w:hAnsi="Calibri" w:cs="Calibri"/>
            <w:sz w:val="20"/>
          </w:rPr>
          <w:t>Hodnocení směrnice 2009/16/ES o státní přístavní inspekci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34" w:history="1">
        <w:r w:rsidR="005942E7" w:rsidRPr="00BD0BEF">
          <w:rPr>
            <w:rStyle w:val="Hypertextovodkaz"/>
            <w:rFonts w:ascii="Calibri" w:hAnsi="Calibri" w:cs="Calibri"/>
            <w:sz w:val="20"/>
          </w:rPr>
          <w:t>Manažerské shrnutí</w:t>
        </w:r>
      </w:hyperlink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35" w:history="1">
        <w:r w:rsidR="005942E7" w:rsidRPr="00BD0BEF">
          <w:rPr>
            <w:rStyle w:val="Hypertextovodkaz"/>
            <w:rFonts w:ascii="Calibri" w:hAnsi="Calibri" w:cs="Calibri"/>
            <w:sz w:val="20"/>
          </w:rPr>
          <w:t>Hodnocení směrnice 2009/21/ES o souladu s požadavky na stát vlajky a směrnice 2009/18/ES o vyšetřování nehod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36" w:history="1">
        <w:r w:rsidR="005942E7" w:rsidRPr="00BD0BEF">
          <w:rPr>
            <w:rStyle w:val="Hypertextovodkaz"/>
            <w:rFonts w:ascii="Calibri" w:hAnsi="Calibri" w:cs="Calibri"/>
            <w:sz w:val="20"/>
          </w:rPr>
          <w:t>Manažerské shrnutí</w:t>
        </w:r>
      </w:hyperlink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37" w:history="1">
        <w:r w:rsidR="005942E7" w:rsidRPr="00BD0BEF">
          <w:rPr>
            <w:rStyle w:val="Hypertextovodkaz"/>
            <w:rFonts w:ascii="Calibri" w:hAnsi="Calibri" w:cs="Calibri"/>
            <w:sz w:val="20"/>
          </w:rPr>
          <w:t>Hodnocení směrnice 2002/59/ES, kterou se stanoví kontrolní a informační systém Společenství pro provoz plavidel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38" w:history="1">
        <w:r w:rsidR="005942E7" w:rsidRPr="00BD0BEF">
          <w:rPr>
            <w:rStyle w:val="Hypertextovodkaz"/>
            <w:rFonts w:ascii="Calibri" w:hAnsi="Calibri" w:cs="Calibri"/>
            <w:sz w:val="20"/>
          </w:rPr>
          <w:t>Manažerské shrnutí</w:t>
        </w:r>
      </w:hyperlink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39" w:history="1">
        <w:r w:rsidR="005942E7" w:rsidRPr="00BD0BEF">
          <w:rPr>
            <w:rStyle w:val="Hypertextovodkaz"/>
            <w:rFonts w:ascii="Calibri" w:hAnsi="Calibri" w:cs="Calibri"/>
            <w:sz w:val="20"/>
          </w:rPr>
          <w:t>Hodnocení týkající se směrnice 2010/65/EU o ohlašovacích formalitách lodí připlouvajících do přístavů členských států nebo odplouvajících z nich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40" w:history="1">
        <w:r w:rsidR="005942E7" w:rsidRPr="00BD0BEF">
          <w:rPr>
            <w:rStyle w:val="Hypertextovodkaz"/>
            <w:rFonts w:ascii="Calibri" w:hAnsi="Calibri" w:cs="Calibri"/>
            <w:sz w:val="20"/>
          </w:rPr>
          <w:t>Manažerské shrnutí</w:t>
        </w:r>
      </w:hyperlink>
    </w:p>
    <w:p w:rsidR="005942E7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t>Elektronická dokumentace pro dopravu</w:t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fldChar w:fldCharType="begin"/>
      </w:r>
      <w:r w:rsidR="00F06D3C">
        <w:rPr>
          <w:rFonts w:ascii="Calibri" w:hAnsi="Calibri" w:cs="Calibri"/>
          <w:b/>
          <w:color w:val="404040" w:themeColor="text1" w:themeTint="BF"/>
        </w:rPr>
        <w:instrText xml:space="preserve"> PAGEREF _Ref515184596 \h </w:instrText>
      </w:r>
      <w:r w:rsidR="00F06D3C">
        <w:rPr>
          <w:rFonts w:ascii="Calibri" w:hAnsi="Calibri" w:cs="Calibri"/>
          <w:b/>
          <w:color w:val="404040" w:themeColor="text1" w:themeTint="BF"/>
        </w:rPr>
      </w:r>
      <w:r w:rsidR="00F06D3C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F06D3C" w:rsidRPr="00F06D3C">
        <w:rPr>
          <w:rFonts w:ascii="Calibri" w:hAnsi="Calibri" w:cs="Calibri"/>
          <w:noProof/>
          <w:color w:val="FF0000"/>
        </w:rPr>
        <w:t xml:space="preserve">přejít na </w:t>
      </w:r>
      <w:r w:rsidR="00F06D3C">
        <w:rPr>
          <w:rFonts w:ascii="Calibri" w:hAnsi="Calibri" w:cs="Calibri"/>
          <w:noProof/>
          <w:color w:val="FF0000"/>
        </w:rPr>
        <w:t>7</w:t>
      </w:r>
      <w:r w:rsidR="00F06D3C" w:rsidRPr="00F06D3C">
        <w:rPr>
          <w:rFonts w:ascii="Calibri" w:hAnsi="Calibri" w:cs="Calibri"/>
          <w:noProof/>
          <w:color w:val="FF0000"/>
        </w:rPr>
        <w:t>)</w:t>
      </w:r>
      <w:r w:rsidR="00F06D3C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41" w:history="1">
        <w:r w:rsidR="005942E7" w:rsidRPr="00BD0BEF">
          <w:rPr>
            <w:rStyle w:val="Hypertextovodkaz"/>
            <w:b/>
            <w:color w:val="4040FF" w:themeColor="hyperlink" w:themeTint="BF"/>
            <w:sz w:val="20"/>
          </w:rPr>
          <w:t>Návrh nařízení o elektronickém předávání informací v nákladní dopravě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42" w:history="1">
        <w:r w:rsidR="005942E7" w:rsidRPr="00BD0BEF">
          <w:rPr>
            <w:rStyle w:val="Hypertextovodkaz"/>
            <w:rFonts w:ascii="Calibri" w:hAnsi="Calibri" w:cs="Calibri"/>
            <w:color w:val="4040FF" w:themeColor="hyperlink" w:themeTint="BF"/>
            <w:sz w:val="20"/>
          </w:rPr>
          <w:t>Přílohy</w:t>
        </w:r>
      </w:hyperlink>
    </w:p>
    <w:p w:rsidR="005942E7" w:rsidRPr="00BD0BEF" w:rsidRDefault="005942E7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bookmarkStart w:id="1" w:name="_Hlk514613075"/>
      <w:r w:rsidRPr="00BD0BEF">
        <w:rPr>
          <w:rFonts w:ascii="Calibri" w:hAnsi="Calibri" w:cs="Calibri"/>
          <w:color w:val="404040" w:themeColor="text1" w:themeTint="BF"/>
          <w:sz w:val="20"/>
        </w:rPr>
        <w:t xml:space="preserve">Posouzení dopadů – </w:t>
      </w:r>
      <w:hyperlink r:id="rId43" w:history="1">
        <w:r w:rsidRPr="00BD0BEF">
          <w:rPr>
            <w:rStyle w:val="Hypertextovodkaz"/>
            <w:rFonts w:ascii="Calibri" w:hAnsi="Calibri" w:cs="Calibri"/>
            <w:color w:val="4040FF" w:themeColor="hyperlink" w:themeTint="BF"/>
            <w:sz w:val="20"/>
          </w:rPr>
          <w:t>část I</w:t>
        </w:r>
      </w:hyperlink>
      <w:r w:rsidRPr="00BD0BEF">
        <w:rPr>
          <w:rFonts w:ascii="Calibri" w:hAnsi="Calibri" w:cs="Calibri"/>
          <w:color w:val="404040" w:themeColor="text1" w:themeTint="BF"/>
          <w:sz w:val="20"/>
        </w:rPr>
        <w:t xml:space="preserve"> a </w:t>
      </w:r>
      <w:hyperlink r:id="rId44" w:history="1">
        <w:r w:rsidRPr="00BD0BEF">
          <w:rPr>
            <w:rStyle w:val="Hypertextovodkaz"/>
            <w:rFonts w:ascii="Calibri" w:hAnsi="Calibri" w:cs="Calibri"/>
            <w:color w:val="4040FF" w:themeColor="hyperlink" w:themeTint="BF"/>
            <w:sz w:val="20"/>
          </w:rPr>
          <w:t>část II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45" w:history="1">
        <w:r w:rsidR="005942E7" w:rsidRPr="00BD0BEF">
          <w:rPr>
            <w:rStyle w:val="Hypertextovodkaz"/>
            <w:rFonts w:ascii="Calibri" w:hAnsi="Calibri" w:cs="Calibri"/>
            <w:color w:val="4040FF" w:themeColor="hyperlink" w:themeTint="BF"/>
            <w:sz w:val="20"/>
          </w:rPr>
          <w:t>Shrnutí posouzení dopadů</w:t>
        </w:r>
      </w:hyperlink>
    </w:p>
    <w:bookmarkEnd w:id="1"/>
    <w:p w:rsidR="005942E7" w:rsidRPr="00C61CD2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 w:rsidRPr="00C61CD2">
        <w:rPr>
          <w:b/>
          <w:color w:val="404040" w:themeColor="text1" w:themeTint="BF"/>
        </w:rPr>
        <w:t>Zjednodušující opatření pro komunikace TEN-T ("inteligentní TEN-T")</w:t>
      </w:r>
      <w:r w:rsidR="00F06D3C">
        <w:rPr>
          <w:b/>
          <w:color w:val="404040" w:themeColor="text1" w:themeTint="BF"/>
        </w:rPr>
        <w:tab/>
      </w:r>
      <w:r w:rsidR="00F06D3C">
        <w:rPr>
          <w:b/>
          <w:color w:val="404040" w:themeColor="text1" w:themeTint="BF"/>
        </w:rPr>
        <w:tab/>
      </w:r>
      <w:r w:rsidR="00F06D3C">
        <w:rPr>
          <w:b/>
          <w:color w:val="404040" w:themeColor="text1" w:themeTint="BF"/>
        </w:rPr>
        <w:tab/>
      </w:r>
      <w:r w:rsidR="00F06D3C">
        <w:rPr>
          <w:b/>
          <w:color w:val="404040" w:themeColor="text1" w:themeTint="BF"/>
        </w:rPr>
        <w:fldChar w:fldCharType="begin"/>
      </w:r>
      <w:r w:rsidR="00F06D3C">
        <w:rPr>
          <w:b/>
          <w:color w:val="404040" w:themeColor="text1" w:themeTint="BF"/>
        </w:rPr>
        <w:instrText xml:space="preserve"> PAGEREF _Ref515184609 \h </w:instrText>
      </w:r>
      <w:r w:rsidR="00F06D3C">
        <w:rPr>
          <w:b/>
          <w:color w:val="404040" w:themeColor="text1" w:themeTint="BF"/>
        </w:rPr>
      </w:r>
      <w:r w:rsidR="00F06D3C">
        <w:rPr>
          <w:b/>
          <w:color w:val="404040" w:themeColor="text1" w:themeTint="BF"/>
        </w:rPr>
        <w:fldChar w:fldCharType="separate"/>
      </w:r>
      <w:r w:rsidR="00F06D3C" w:rsidRPr="00F06D3C">
        <w:rPr>
          <w:rFonts w:ascii="Calibri" w:hAnsi="Calibri" w:cs="Calibri"/>
          <w:noProof/>
          <w:color w:val="FF0000"/>
        </w:rPr>
        <w:t xml:space="preserve">přejít na </w:t>
      </w:r>
      <w:r w:rsidR="00F06D3C">
        <w:rPr>
          <w:rFonts w:ascii="Calibri" w:hAnsi="Calibri" w:cs="Calibri"/>
          <w:noProof/>
          <w:color w:val="FF0000"/>
        </w:rPr>
        <w:t>8</w:t>
      </w:r>
      <w:r w:rsidR="00F06D3C" w:rsidRPr="00F06D3C">
        <w:rPr>
          <w:rFonts w:ascii="Calibri" w:hAnsi="Calibri" w:cs="Calibri"/>
          <w:noProof/>
          <w:color w:val="FF0000"/>
        </w:rPr>
        <w:t>)</w:t>
      </w:r>
      <w:r w:rsidR="00F06D3C">
        <w:rPr>
          <w:b/>
          <w:color w:val="404040" w:themeColor="text1" w:themeTint="BF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46" w:history="1">
        <w:r w:rsidR="005942E7" w:rsidRPr="00BD0BEF">
          <w:rPr>
            <w:rStyle w:val="Hypertextovodkaz"/>
            <w:b/>
            <w:color w:val="4040FF" w:themeColor="hyperlink" w:themeTint="BF"/>
            <w:sz w:val="20"/>
          </w:rPr>
          <w:t>Návrh nařízení o zjednodušujících opatřeních na podporu realizace transevropské dopravní sítě ("inteligentní TEN-T")</w:t>
        </w:r>
      </w:hyperlink>
    </w:p>
    <w:p w:rsidR="005942E7" w:rsidRPr="00BD0BEF" w:rsidRDefault="005942E7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r w:rsidRPr="00BD0BEF">
        <w:rPr>
          <w:rFonts w:ascii="Calibri" w:hAnsi="Calibri" w:cs="Calibri"/>
          <w:color w:val="404040" w:themeColor="text1" w:themeTint="BF"/>
          <w:sz w:val="20"/>
        </w:rPr>
        <w:t xml:space="preserve">Posouzení dopadů – </w:t>
      </w:r>
      <w:hyperlink r:id="rId47" w:history="1">
        <w:r w:rsidRPr="00BD0BEF">
          <w:rPr>
            <w:rStyle w:val="Hypertextovodkaz"/>
            <w:rFonts w:ascii="Calibri" w:hAnsi="Calibri" w:cs="Calibri"/>
            <w:sz w:val="20"/>
          </w:rPr>
          <w:t>část I</w:t>
        </w:r>
      </w:hyperlink>
      <w:r w:rsidRPr="00BD0BEF">
        <w:rPr>
          <w:rFonts w:ascii="Calibri" w:hAnsi="Calibri" w:cs="Calibri"/>
          <w:color w:val="404040" w:themeColor="text1" w:themeTint="BF"/>
          <w:sz w:val="20"/>
        </w:rPr>
        <w:t xml:space="preserve"> a </w:t>
      </w:r>
      <w:hyperlink r:id="rId48" w:history="1">
        <w:r w:rsidRPr="00BD0BEF">
          <w:rPr>
            <w:rStyle w:val="Hypertextovodkaz"/>
            <w:rFonts w:ascii="Calibri" w:hAnsi="Calibri" w:cs="Calibri"/>
            <w:sz w:val="20"/>
          </w:rPr>
          <w:t>část II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49" w:history="1">
        <w:r w:rsidR="005942E7" w:rsidRPr="00BD0BEF">
          <w:rPr>
            <w:rStyle w:val="Hypertextovodkaz"/>
            <w:rFonts w:ascii="Calibri" w:hAnsi="Calibri" w:cs="Calibri"/>
            <w:sz w:val="20"/>
          </w:rPr>
          <w:t>Shrnutí posouzení dopadů</w:t>
        </w:r>
      </w:hyperlink>
    </w:p>
    <w:p w:rsidR="005942E7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 w:rsidRPr="002F5696">
        <w:rPr>
          <w:rFonts w:ascii="Calibri" w:hAnsi="Calibri" w:cs="Calibri"/>
          <w:b/>
          <w:color w:val="404040" w:themeColor="text1" w:themeTint="BF"/>
        </w:rPr>
        <w:t>Hmotnosti a rozměry</w:t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fldChar w:fldCharType="begin"/>
      </w:r>
      <w:r w:rsidR="00F06D3C">
        <w:rPr>
          <w:rFonts w:ascii="Calibri" w:hAnsi="Calibri" w:cs="Calibri"/>
          <w:b/>
          <w:color w:val="404040" w:themeColor="text1" w:themeTint="BF"/>
        </w:rPr>
        <w:instrText xml:space="preserve"> PAGEREF _Ref515184622 \h </w:instrText>
      </w:r>
      <w:r w:rsidR="00F06D3C">
        <w:rPr>
          <w:rFonts w:ascii="Calibri" w:hAnsi="Calibri" w:cs="Calibri"/>
          <w:b/>
          <w:color w:val="404040" w:themeColor="text1" w:themeTint="BF"/>
        </w:rPr>
      </w:r>
      <w:r w:rsidR="00F06D3C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F06D3C" w:rsidRPr="00F06D3C">
        <w:rPr>
          <w:rFonts w:ascii="Calibri" w:hAnsi="Calibri" w:cs="Calibri"/>
          <w:noProof/>
          <w:color w:val="FF0000"/>
        </w:rPr>
        <w:t xml:space="preserve">přejít na </w:t>
      </w:r>
      <w:r w:rsidR="00F06D3C">
        <w:rPr>
          <w:rFonts w:ascii="Calibri" w:hAnsi="Calibri" w:cs="Calibri"/>
          <w:noProof/>
          <w:color w:val="FF0000"/>
        </w:rPr>
        <w:t>9</w:t>
      </w:r>
      <w:r w:rsidR="00F06D3C" w:rsidRPr="00F06D3C">
        <w:rPr>
          <w:rFonts w:ascii="Calibri" w:hAnsi="Calibri" w:cs="Calibri"/>
          <w:noProof/>
          <w:color w:val="FF0000"/>
        </w:rPr>
        <w:t>)</w:t>
      </w:r>
      <w:r w:rsidR="00F06D3C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50" w:history="1">
        <w:r w:rsidR="005942E7" w:rsidRPr="00BD0BEF">
          <w:rPr>
            <w:rStyle w:val="Hypertextovodkaz"/>
            <w:rFonts w:ascii="Calibri" w:hAnsi="Calibri" w:cs="Calibri"/>
            <w:b/>
            <w:sz w:val="20"/>
          </w:rPr>
          <w:t>Návrh Rozhodnutí, kterým se mění směrnice 96/53/ES, pokud jde o lhůtu pro provedení zvláštních pravidel týkajících se maximální délky v případě kabin poskytujících zlepšené aerodynamické vlastnosti, energetickou účinnost a bezpečnost</w:t>
        </w:r>
      </w:hyperlink>
    </w:p>
    <w:p w:rsidR="005942E7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 w:rsidRPr="00B22309">
        <w:rPr>
          <w:rFonts w:ascii="Calibri" w:hAnsi="Calibri" w:cs="Calibri"/>
          <w:b/>
          <w:color w:val="404040" w:themeColor="text1" w:themeTint="BF"/>
        </w:rPr>
        <w:t>Srovnání cen pohonných hmot</w:t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fldChar w:fldCharType="begin"/>
      </w:r>
      <w:r w:rsidR="00F06D3C">
        <w:rPr>
          <w:rFonts w:ascii="Calibri" w:hAnsi="Calibri" w:cs="Calibri"/>
          <w:b/>
          <w:color w:val="404040" w:themeColor="text1" w:themeTint="BF"/>
        </w:rPr>
        <w:instrText xml:space="preserve"> PAGEREF _Ref515184645 \h </w:instrText>
      </w:r>
      <w:r w:rsidR="00F06D3C">
        <w:rPr>
          <w:rFonts w:ascii="Calibri" w:hAnsi="Calibri" w:cs="Calibri"/>
          <w:b/>
          <w:color w:val="404040" w:themeColor="text1" w:themeTint="BF"/>
        </w:rPr>
      </w:r>
      <w:r w:rsidR="00F06D3C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F06D3C" w:rsidRPr="00F06D3C">
        <w:rPr>
          <w:rFonts w:ascii="Calibri" w:hAnsi="Calibri" w:cs="Calibri"/>
          <w:noProof/>
          <w:color w:val="FF0000"/>
        </w:rPr>
        <w:t xml:space="preserve">přejít na </w:t>
      </w:r>
      <w:r w:rsidR="00F06D3C">
        <w:rPr>
          <w:rFonts w:ascii="Calibri" w:hAnsi="Calibri" w:cs="Calibri"/>
          <w:noProof/>
          <w:color w:val="FF0000"/>
        </w:rPr>
        <w:t>10</w:t>
      </w:r>
      <w:r w:rsidR="00F06D3C" w:rsidRPr="00F06D3C">
        <w:rPr>
          <w:rFonts w:ascii="Calibri" w:hAnsi="Calibri" w:cs="Calibri"/>
          <w:noProof/>
          <w:color w:val="FF0000"/>
        </w:rPr>
        <w:t>)</w:t>
      </w:r>
      <w:r w:rsidR="00F06D3C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51" w:history="1">
        <w:r w:rsidR="005942E7" w:rsidRPr="00BD0BEF">
          <w:rPr>
            <w:rStyle w:val="Hypertextovodkaz"/>
            <w:rFonts w:ascii="Calibri" w:hAnsi="Calibri" w:cs="Calibri"/>
            <w:b/>
            <w:sz w:val="20"/>
          </w:rPr>
          <w:t>Prováděcí nařízení Komise o společné metodice pro porovnávání jednotkových cen alternativních paliv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52" w:history="1">
        <w:r w:rsidR="005942E7" w:rsidRPr="00BD0BEF">
          <w:rPr>
            <w:rStyle w:val="Hypertextovodkaz"/>
            <w:rFonts w:ascii="Calibri" w:hAnsi="Calibri" w:cs="Calibri"/>
            <w:sz w:val="20"/>
          </w:rPr>
          <w:t>Příloha</w:t>
        </w:r>
      </w:hyperlink>
    </w:p>
    <w:p w:rsidR="005942E7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t>Značení pneumatik</w:t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fldChar w:fldCharType="begin"/>
      </w:r>
      <w:r w:rsidR="00F06D3C">
        <w:rPr>
          <w:rFonts w:ascii="Calibri" w:hAnsi="Calibri" w:cs="Calibri"/>
          <w:b/>
          <w:color w:val="404040" w:themeColor="text1" w:themeTint="BF"/>
        </w:rPr>
        <w:instrText xml:space="preserve"> PAGEREF _Ref515184659 \h </w:instrText>
      </w:r>
      <w:r w:rsidR="00F06D3C">
        <w:rPr>
          <w:rFonts w:ascii="Calibri" w:hAnsi="Calibri" w:cs="Calibri"/>
          <w:b/>
          <w:color w:val="404040" w:themeColor="text1" w:themeTint="BF"/>
        </w:rPr>
      </w:r>
      <w:r w:rsidR="00F06D3C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566C0C" w:rsidRPr="00F06D3C">
        <w:rPr>
          <w:rFonts w:ascii="Calibri" w:hAnsi="Calibri" w:cs="Calibri"/>
          <w:noProof/>
          <w:color w:val="FF0000"/>
        </w:rPr>
        <w:t xml:space="preserve">přejít na </w:t>
      </w:r>
      <w:r w:rsidR="00566C0C">
        <w:rPr>
          <w:rFonts w:ascii="Calibri" w:hAnsi="Calibri" w:cs="Calibri"/>
          <w:noProof/>
          <w:color w:val="FF0000"/>
        </w:rPr>
        <w:t>11</w:t>
      </w:r>
      <w:r w:rsidR="00566C0C" w:rsidRPr="00F06D3C">
        <w:rPr>
          <w:rFonts w:ascii="Calibri" w:hAnsi="Calibri" w:cs="Calibri"/>
          <w:noProof/>
          <w:color w:val="FF0000"/>
        </w:rPr>
        <w:t>)</w:t>
      </w:r>
      <w:r w:rsidR="00F06D3C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53" w:history="1">
        <w:r w:rsidR="005942E7" w:rsidRPr="00BD0BEF">
          <w:rPr>
            <w:rStyle w:val="Hypertextovodkaz"/>
            <w:rFonts w:ascii="Calibri" w:hAnsi="Calibri" w:cs="Calibri"/>
            <w:b/>
            <w:sz w:val="20"/>
          </w:rPr>
          <w:t>Návrh nařízení o označování pneumatik s ohledem na palivovou účinnost a jiné důležité parametry, kterým se zrušuje nařízení (ES) č. 1222/2009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54" w:history="1">
        <w:r w:rsidR="005942E7" w:rsidRPr="00BD0BEF">
          <w:rPr>
            <w:rStyle w:val="Hypertextovodkaz"/>
            <w:rFonts w:ascii="Calibri" w:hAnsi="Calibri" w:cs="Calibri"/>
            <w:sz w:val="20"/>
          </w:rPr>
          <w:t>Příloha</w:t>
        </w:r>
      </w:hyperlink>
    </w:p>
    <w:p w:rsidR="005942E7" w:rsidRPr="00BD0BEF" w:rsidRDefault="005942E7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r w:rsidRPr="00BD0BEF">
        <w:rPr>
          <w:rFonts w:ascii="Calibri" w:hAnsi="Calibri" w:cs="Calibri"/>
          <w:color w:val="404040" w:themeColor="text1" w:themeTint="BF"/>
          <w:sz w:val="20"/>
        </w:rPr>
        <w:t xml:space="preserve">Posouzení dopadů – </w:t>
      </w:r>
      <w:hyperlink r:id="rId55" w:history="1">
        <w:r w:rsidRPr="00BD0BEF">
          <w:rPr>
            <w:rStyle w:val="Hypertextovodkaz"/>
            <w:rFonts w:ascii="Calibri" w:hAnsi="Calibri" w:cs="Calibri"/>
            <w:sz w:val="20"/>
          </w:rPr>
          <w:t>část I</w:t>
        </w:r>
      </w:hyperlink>
      <w:r w:rsidRPr="00BD0BEF">
        <w:rPr>
          <w:rFonts w:ascii="Calibri" w:hAnsi="Calibri" w:cs="Calibri"/>
          <w:color w:val="404040" w:themeColor="text1" w:themeTint="BF"/>
          <w:sz w:val="20"/>
        </w:rPr>
        <w:t xml:space="preserve">, </w:t>
      </w:r>
      <w:hyperlink r:id="rId56" w:history="1">
        <w:r w:rsidRPr="00BD0BEF">
          <w:rPr>
            <w:rStyle w:val="Hypertextovodkaz"/>
            <w:rFonts w:ascii="Calibri" w:hAnsi="Calibri" w:cs="Calibri"/>
            <w:sz w:val="20"/>
          </w:rPr>
          <w:t>část II</w:t>
        </w:r>
      </w:hyperlink>
      <w:r w:rsidRPr="00BD0BEF">
        <w:rPr>
          <w:rFonts w:ascii="Calibri" w:hAnsi="Calibri" w:cs="Calibri"/>
          <w:color w:val="404040" w:themeColor="text1" w:themeTint="BF"/>
          <w:sz w:val="20"/>
        </w:rPr>
        <w:t xml:space="preserve"> a </w:t>
      </w:r>
      <w:hyperlink r:id="rId57" w:history="1">
        <w:r w:rsidRPr="00BD0BEF">
          <w:rPr>
            <w:rStyle w:val="Hypertextovodkaz"/>
            <w:rFonts w:ascii="Calibri" w:hAnsi="Calibri" w:cs="Calibri"/>
            <w:sz w:val="20"/>
          </w:rPr>
          <w:t>část III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58" w:history="1">
        <w:r w:rsidR="005942E7" w:rsidRPr="00BD0BEF">
          <w:rPr>
            <w:rStyle w:val="Hypertextovodkaz"/>
            <w:rFonts w:ascii="Calibri" w:hAnsi="Calibri" w:cs="Calibri"/>
            <w:sz w:val="20"/>
          </w:rPr>
          <w:t>Shrnutí posouzení dopadů</w:t>
        </w:r>
      </w:hyperlink>
    </w:p>
    <w:p w:rsidR="005942E7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t>Iniciativa/aliance v oblasti baterií</w:t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566C0C">
        <w:rPr>
          <w:rFonts w:ascii="Calibri" w:hAnsi="Calibri" w:cs="Calibri"/>
          <w:b/>
          <w:color w:val="404040" w:themeColor="text1" w:themeTint="BF"/>
        </w:rPr>
        <w:tab/>
      </w:r>
      <w:r w:rsidR="00F06D3C">
        <w:rPr>
          <w:rFonts w:ascii="Calibri" w:hAnsi="Calibri" w:cs="Calibri"/>
          <w:b/>
          <w:color w:val="404040" w:themeColor="text1" w:themeTint="BF"/>
        </w:rPr>
        <w:fldChar w:fldCharType="begin"/>
      </w:r>
      <w:r w:rsidR="00F06D3C">
        <w:rPr>
          <w:rFonts w:ascii="Calibri" w:hAnsi="Calibri" w:cs="Calibri"/>
          <w:b/>
          <w:color w:val="404040" w:themeColor="text1" w:themeTint="BF"/>
        </w:rPr>
        <w:instrText xml:space="preserve"> PAGEREF _Ref515184659 \h </w:instrText>
      </w:r>
      <w:r w:rsidR="00F06D3C">
        <w:rPr>
          <w:rFonts w:ascii="Calibri" w:hAnsi="Calibri" w:cs="Calibri"/>
          <w:b/>
          <w:color w:val="404040" w:themeColor="text1" w:themeTint="BF"/>
        </w:rPr>
      </w:r>
      <w:r w:rsidR="00F06D3C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566C0C" w:rsidRPr="00F06D3C">
        <w:rPr>
          <w:rFonts w:ascii="Calibri" w:hAnsi="Calibri" w:cs="Calibri"/>
          <w:noProof/>
          <w:color w:val="FF0000"/>
        </w:rPr>
        <w:t xml:space="preserve">přejít na </w:t>
      </w:r>
      <w:r w:rsidR="00566C0C">
        <w:rPr>
          <w:rFonts w:ascii="Calibri" w:hAnsi="Calibri" w:cs="Calibri"/>
          <w:noProof/>
          <w:color w:val="FF0000"/>
        </w:rPr>
        <w:t>12</w:t>
      </w:r>
      <w:r w:rsidR="00566C0C" w:rsidRPr="00F06D3C">
        <w:rPr>
          <w:rFonts w:ascii="Calibri" w:hAnsi="Calibri" w:cs="Calibri"/>
          <w:noProof/>
          <w:color w:val="FF0000"/>
        </w:rPr>
        <w:t>)</w:t>
      </w:r>
      <w:r w:rsidR="00F06D3C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59" w:history="1">
        <w:r w:rsidR="005942E7" w:rsidRPr="00BD0BEF">
          <w:rPr>
            <w:rStyle w:val="Hypertextovodkaz"/>
            <w:rFonts w:ascii="Calibri" w:hAnsi="Calibri" w:cs="Calibri"/>
            <w:sz w:val="20"/>
          </w:rPr>
          <w:t>Zpráva o surovinách pro použití v bateriích</w:t>
        </w:r>
      </w:hyperlink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60" w:history="1">
        <w:r w:rsidR="005942E7" w:rsidRPr="00BD0BEF">
          <w:rPr>
            <w:rStyle w:val="Hypertextovodkaz"/>
            <w:rFonts w:ascii="Calibri" w:hAnsi="Calibri" w:cs="Calibri"/>
            <w:b/>
            <w:sz w:val="20"/>
          </w:rPr>
          <w:t>Strategický akční plán pro baterie</w:t>
        </w:r>
      </w:hyperlink>
    </w:p>
    <w:p w:rsidR="005942E7" w:rsidRPr="008762F5" w:rsidRDefault="005942E7" w:rsidP="005942E7">
      <w:pPr>
        <w:pStyle w:val="Odstavecseseznamem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 w:rsidRPr="008762F5">
        <w:rPr>
          <w:b/>
          <w:color w:val="404040" w:themeColor="text1" w:themeTint="BF"/>
        </w:rPr>
        <w:t>Normy CO</w:t>
      </w:r>
      <w:r w:rsidRPr="008762F5">
        <w:rPr>
          <w:b/>
          <w:color w:val="404040" w:themeColor="text1" w:themeTint="BF"/>
          <w:vertAlign w:val="subscript"/>
        </w:rPr>
        <w:t>2</w:t>
      </w:r>
      <w:r w:rsidRPr="008762F5">
        <w:rPr>
          <w:b/>
          <w:color w:val="404040" w:themeColor="text1" w:themeTint="BF"/>
        </w:rPr>
        <w:t xml:space="preserve"> pro </w:t>
      </w:r>
      <w:r>
        <w:rPr>
          <w:b/>
          <w:color w:val="404040" w:themeColor="text1" w:themeTint="BF"/>
        </w:rPr>
        <w:t xml:space="preserve">těžká </w:t>
      </w:r>
      <w:r w:rsidR="00B51C66">
        <w:rPr>
          <w:b/>
          <w:color w:val="404040" w:themeColor="text1" w:themeTint="BF"/>
        </w:rPr>
        <w:t xml:space="preserve">užitková </w:t>
      </w:r>
      <w:r>
        <w:rPr>
          <w:b/>
          <w:color w:val="404040" w:themeColor="text1" w:themeTint="BF"/>
        </w:rPr>
        <w:t>vozidla</w:t>
      </w:r>
      <w:r w:rsidR="00566C0C">
        <w:rPr>
          <w:b/>
          <w:color w:val="404040" w:themeColor="text1" w:themeTint="BF"/>
        </w:rPr>
        <w:tab/>
      </w:r>
      <w:r w:rsidR="00566C0C">
        <w:rPr>
          <w:b/>
          <w:color w:val="404040" w:themeColor="text1" w:themeTint="BF"/>
        </w:rPr>
        <w:tab/>
      </w:r>
      <w:r w:rsidR="00566C0C">
        <w:rPr>
          <w:b/>
          <w:color w:val="404040" w:themeColor="text1" w:themeTint="BF"/>
        </w:rPr>
        <w:tab/>
      </w:r>
      <w:r w:rsidR="00566C0C">
        <w:rPr>
          <w:b/>
          <w:color w:val="404040" w:themeColor="text1" w:themeTint="BF"/>
        </w:rPr>
        <w:tab/>
      </w:r>
      <w:r w:rsidR="00566C0C">
        <w:rPr>
          <w:b/>
          <w:color w:val="404040" w:themeColor="text1" w:themeTint="BF"/>
        </w:rPr>
        <w:tab/>
      </w:r>
      <w:r w:rsidR="00566C0C">
        <w:rPr>
          <w:b/>
          <w:color w:val="404040" w:themeColor="text1" w:themeTint="BF"/>
        </w:rPr>
        <w:tab/>
      </w:r>
      <w:r w:rsidR="00566C0C">
        <w:rPr>
          <w:b/>
          <w:color w:val="404040" w:themeColor="text1" w:themeTint="BF"/>
        </w:rPr>
        <w:tab/>
      </w:r>
      <w:r w:rsidR="00F06D3C">
        <w:rPr>
          <w:b/>
          <w:color w:val="404040" w:themeColor="text1" w:themeTint="BF"/>
        </w:rPr>
        <w:fldChar w:fldCharType="begin"/>
      </w:r>
      <w:r w:rsidR="00F06D3C">
        <w:rPr>
          <w:b/>
          <w:color w:val="404040" w:themeColor="text1" w:themeTint="BF"/>
        </w:rPr>
        <w:instrText xml:space="preserve"> PAGEREF _Ref515184684 \h </w:instrText>
      </w:r>
      <w:r w:rsidR="00F06D3C">
        <w:rPr>
          <w:b/>
          <w:color w:val="404040" w:themeColor="text1" w:themeTint="BF"/>
        </w:rPr>
      </w:r>
      <w:r w:rsidR="00F06D3C">
        <w:rPr>
          <w:b/>
          <w:color w:val="404040" w:themeColor="text1" w:themeTint="BF"/>
        </w:rPr>
        <w:fldChar w:fldCharType="separate"/>
      </w:r>
      <w:r w:rsidR="00566C0C" w:rsidRPr="00F06D3C">
        <w:rPr>
          <w:rFonts w:ascii="Calibri" w:hAnsi="Calibri" w:cs="Calibri"/>
          <w:noProof/>
          <w:color w:val="FF0000"/>
        </w:rPr>
        <w:t xml:space="preserve">přejít na </w:t>
      </w:r>
      <w:r w:rsidR="00566C0C">
        <w:rPr>
          <w:rFonts w:ascii="Calibri" w:hAnsi="Calibri" w:cs="Calibri"/>
          <w:noProof/>
          <w:color w:val="FF0000"/>
        </w:rPr>
        <w:t>13</w:t>
      </w:r>
      <w:r w:rsidR="00566C0C" w:rsidRPr="00F06D3C">
        <w:rPr>
          <w:rFonts w:ascii="Calibri" w:hAnsi="Calibri" w:cs="Calibri"/>
          <w:noProof/>
          <w:color w:val="FF0000"/>
        </w:rPr>
        <w:t>)</w:t>
      </w:r>
      <w:r w:rsidR="00F06D3C">
        <w:rPr>
          <w:b/>
          <w:color w:val="404040" w:themeColor="text1" w:themeTint="BF"/>
        </w:rPr>
        <w:fldChar w:fldCharType="end"/>
      </w:r>
    </w:p>
    <w:p w:rsidR="005942E7" w:rsidRPr="00BD0BEF" w:rsidRDefault="00316E66" w:rsidP="005942E7">
      <w:pPr>
        <w:pStyle w:val="Odstavecseseznamem"/>
        <w:numPr>
          <w:ilvl w:val="1"/>
          <w:numId w:val="2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61" w:history="1">
        <w:r w:rsidR="005942E7" w:rsidRPr="00BD0BEF">
          <w:rPr>
            <w:rStyle w:val="Hypertextovodkaz"/>
            <w:b/>
            <w:color w:val="4040FF" w:themeColor="hyperlink" w:themeTint="BF"/>
            <w:sz w:val="20"/>
          </w:rPr>
          <w:t xml:space="preserve">Návrh nařízení, kterým se stanoví výkonnostní emisní normy pro nová těžká </w:t>
        </w:r>
        <w:r w:rsidR="00B51C66">
          <w:rPr>
            <w:rStyle w:val="Hypertextovodkaz"/>
            <w:b/>
            <w:color w:val="4040FF" w:themeColor="hyperlink" w:themeTint="BF"/>
            <w:sz w:val="20"/>
          </w:rPr>
          <w:t xml:space="preserve">užitková </w:t>
        </w:r>
        <w:r w:rsidR="005942E7" w:rsidRPr="00BD0BEF">
          <w:rPr>
            <w:rStyle w:val="Hypertextovodkaz"/>
            <w:b/>
            <w:color w:val="4040FF" w:themeColor="hyperlink" w:themeTint="BF"/>
            <w:sz w:val="20"/>
          </w:rPr>
          <w:t>vozidl</w:t>
        </w:r>
        <w:r w:rsidR="007B74EB">
          <w:rPr>
            <w:rStyle w:val="Hypertextovodkaz"/>
            <w:b/>
            <w:color w:val="4040FF" w:themeColor="hyperlink" w:themeTint="BF"/>
            <w:sz w:val="20"/>
          </w:rPr>
          <w:t>a HDV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62" w:history="1">
        <w:r w:rsidR="005942E7" w:rsidRPr="00BD0BEF">
          <w:rPr>
            <w:rStyle w:val="Hypertextovodkaz"/>
            <w:rFonts w:ascii="Calibri" w:hAnsi="Calibri" w:cs="Calibri"/>
            <w:sz w:val="20"/>
          </w:rPr>
          <w:t>Posouzení dopadů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63" w:history="1">
        <w:r w:rsidR="005942E7" w:rsidRPr="00BD0BEF">
          <w:rPr>
            <w:rStyle w:val="Hypertextovodkaz"/>
            <w:rFonts w:ascii="Calibri" w:hAnsi="Calibri" w:cs="Calibri"/>
            <w:sz w:val="20"/>
          </w:rPr>
          <w:t>Shrnutí posouzení dopadů</w:t>
        </w:r>
      </w:hyperlink>
    </w:p>
    <w:p w:rsidR="005942E7" w:rsidRPr="00BD0BEF" w:rsidRDefault="00316E66" w:rsidP="005942E7">
      <w:pPr>
        <w:pStyle w:val="Odstavecseseznamem"/>
        <w:numPr>
          <w:ilvl w:val="2"/>
          <w:numId w:val="2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64" w:history="1">
        <w:r w:rsidR="005942E7" w:rsidRPr="00BD0BEF">
          <w:rPr>
            <w:rStyle w:val="Hypertextovodkaz"/>
            <w:rFonts w:ascii="Calibri" w:hAnsi="Calibri" w:cs="Calibri"/>
            <w:sz w:val="20"/>
          </w:rPr>
          <w:t>Otázky a odpovědi týkající se návrhu norem pro emise CO</w:t>
        </w:r>
        <w:r w:rsidR="005942E7" w:rsidRPr="00BD0BEF">
          <w:rPr>
            <w:rStyle w:val="Hypertextovodkaz"/>
            <w:rFonts w:ascii="Calibri" w:hAnsi="Calibri" w:cs="Calibri"/>
            <w:sz w:val="20"/>
            <w:vertAlign w:val="subscript"/>
          </w:rPr>
          <w:t>2</w:t>
        </w:r>
        <w:r w:rsidR="005942E7" w:rsidRPr="00BD0BEF">
          <w:rPr>
            <w:rStyle w:val="Hypertextovodkaz"/>
            <w:rFonts w:ascii="Calibri" w:hAnsi="Calibri" w:cs="Calibri"/>
            <w:sz w:val="20"/>
          </w:rPr>
          <w:t xml:space="preserve"> pro těžká </w:t>
        </w:r>
        <w:r w:rsidR="00B51C66">
          <w:rPr>
            <w:rStyle w:val="Hypertextovodkaz"/>
            <w:rFonts w:ascii="Calibri" w:hAnsi="Calibri" w:cs="Calibri"/>
            <w:sz w:val="20"/>
          </w:rPr>
          <w:t xml:space="preserve">užitková </w:t>
        </w:r>
        <w:r w:rsidR="005942E7" w:rsidRPr="00BD0BEF">
          <w:rPr>
            <w:rStyle w:val="Hypertextovodkaz"/>
            <w:rFonts w:ascii="Calibri" w:hAnsi="Calibri" w:cs="Calibri"/>
            <w:sz w:val="20"/>
          </w:rPr>
          <w:t>vozidla HDV</w:t>
        </w:r>
      </w:hyperlink>
    </w:p>
    <w:p w:rsidR="005942E7" w:rsidRPr="00565A67" w:rsidRDefault="005942E7" w:rsidP="005942E7">
      <w:pPr>
        <w:rPr>
          <w:rFonts w:ascii="Calibri" w:hAnsi="Calibri" w:cs="Calibri"/>
          <w:b/>
          <w:color w:val="404040" w:themeColor="text1" w:themeTint="BF"/>
        </w:rPr>
      </w:pPr>
      <w:r>
        <w:rPr>
          <w:rFonts w:ascii="Calibri" w:hAnsi="Calibri" w:cs="Calibri"/>
          <w:b/>
          <w:color w:val="404040" w:themeColor="text1" w:themeTint="BF"/>
        </w:rPr>
        <w:br w:type="page"/>
      </w:r>
    </w:p>
    <w:p w:rsidR="005942E7" w:rsidRPr="008A6222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2" w:name="_Ref515183559"/>
      <w:r w:rsidRPr="00202254">
        <w:rPr>
          <w:rFonts w:ascii="Calibri" w:hAnsi="Calibri" w:cs="Calibri"/>
          <w:b/>
          <w:color w:val="404040" w:themeColor="text1" w:themeTint="BF"/>
        </w:rPr>
        <w:lastRenderedPageBreak/>
        <w:t>Sdělení EK</w:t>
      </w:r>
      <w:r w:rsidR="00315741">
        <w:rPr>
          <w:rFonts w:ascii="Calibri" w:hAnsi="Calibri" w:cs="Calibri"/>
          <w:b/>
          <w:color w:val="404040" w:themeColor="text1" w:themeTint="BF"/>
        </w:rPr>
        <w:t>:</w:t>
      </w:r>
      <w:r w:rsidR="00315741">
        <w:rPr>
          <w:rFonts w:ascii="Calibri" w:hAnsi="Calibri" w:cs="Calibri"/>
          <w:color w:val="404040" w:themeColor="text1" w:themeTint="BF"/>
        </w:rPr>
        <w:tab/>
      </w:r>
      <w:r w:rsidR="00AD2E75">
        <w:rPr>
          <w:rFonts w:ascii="Calibri" w:hAnsi="Calibri" w:cs="Calibri"/>
          <w:color w:val="404040" w:themeColor="text1" w:themeTint="BF"/>
        </w:rPr>
        <w:t xml:space="preserve"> (manažerské shrnutí 3. balíčku)</w:t>
      </w:r>
      <w:bookmarkEnd w:id="2"/>
      <w:r w:rsidR="00315741">
        <w:rPr>
          <w:rFonts w:ascii="Calibri" w:hAnsi="Calibri" w:cs="Calibri"/>
          <w:color w:val="404040" w:themeColor="text1" w:themeTint="BF"/>
        </w:rPr>
        <w:tab/>
      </w:r>
      <w:r w:rsidR="00315741">
        <w:rPr>
          <w:rFonts w:ascii="Calibri" w:hAnsi="Calibri" w:cs="Calibri"/>
          <w:color w:val="404040" w:themeColor="text1" w:themeTint="BF"/>
        </w:rPr>
        <w:tab/>
      </w:r>
      <w:r w:rsidR="00315741">
        <w:rPr>
          <w:rFonts w:ascii="Calibri" w:hAnsi="Calibri" w:cs="Calibri"/>
          <w:color w:val="404040" w:themeColor="text1" w:themeTint="BF"/>
        </w:rPr>
        <w:tab/>
      </w:r>
      <w:r w:rsidR="00315741">
        <w:rPr>
          <w:rFonts w:ascii="Calibri" w:hAnsi="Calibri" w:cs="Calibri"/>
          <w:color w:val="404040" w:themeColor="text1" w:themeTint="BF"/>
        </w:rPr>
        <w:tab/>
      </w:r>
      <w:r w:rsidR="00315741">
        <w:rPr>
          <w:rFonts w:ascii="Calibri" w:hAnsi="Calibri" w:cs="Calibri"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CF3D3B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65" w:history="1">
        <w:r w:rsidR="005942E7" w:rsidRPr="00CF3D3B">
          <w:rPr>
            <w:rStyle w:val="Hypertextovodkaz"/>
            <w:rFonts w:ascii="Calibri" w:hAnsi="Calibri" w:cs="Calibri"/>
            <w:b/>
            <w:sz w:val="20"/>
          </w:rPr>
          <w:t>Sdělení Komise: Evropa v pohybu: Udržitelná mobilita pro Evropu: bezpečná, propojená a čistá</w:t>
        </w:r>
      </w:hyperlink>
    </w:p>
    <w:p w:rsidR="005942E7" w:rsidRPr="00CF3D3B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66" w:history="1">
        <w:r w:rsidR="005942E7" w:rsidRPr="00CF3D3B">
          <w:rPr>
            <w:rStyle w:val="Hypertextovodkaz"/>
            <w:rFonts w:ascii="Calibri" w:hAnsi="Calibri" w:cs="Calibri"/>
            <w:sz w:val="20"/>
          </w:rPr>
          <w:t>Příloha I: Strategický akční plán bezpečnosti silničního provozu</w:t>
        </w:r>
      </w:hyperlink>
      <w:r w:rsidR="005942E7" w:rsidRPr="00CF3D3B">
        <w:rPr>
          <w:rFonts w:ascii="Calibri" w:hAnsi="Calibri" w:cs="Calibri"/>
          <w:color w:val="404040" w:themeColor="text1" w:themeTint="BF"/>
          <w:sz w:val="20"/>
        </w:rPr>
        <w:t xml:space="preserve"> </w:t>
      </w:r>
    </w:p>
    <w:p w:rsidR="005942E7" w:rsidRPr="00CF3D3B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67" w:history="1">
        <w:r w:rsidR="005942E7" w:rsidRPr="00CF3D3B">
          <w:rPr>
            <w:rStyle w:val="Hypertextovodkaz"/>
            <w:rFonts w:ascii="Calibri" w:hAnsi="Calibri" w:cs="Calibri"/>
            <w:sz w:val="20"/>
          </w:rPr>
          <w:t>Příloha II: Strategický akční plán pro baterie</w:t>
        </w:r>
      </w:hyperlink>
    </w:p>
    <w:p w:rsidR="005942E7" w:rsidRPr="00CF3D3B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68" w:history="1">
        <w:r w:rsidR="005942E7" w:rsidRPr="00CF3D3B">
          <w:rPr>
            <w:rStyle w:val="Hypertextovodkaz"/>
            <w:rFonts w:ascii="Calibri" w:hAnsi="Calibri" w:cs="Calibri"/>
            <w:b/>
            <w:sz w:val="20"/>
          </w:rPr>
          <w:t>Sdělení Komise: Evropa, která chrání: čistý vzduch pro všechny</w:t>
        </w:r>
      </w:hyperlink>
    </w:p>
    <w:p w:rsidR="005942E7" w:rsidRDefault="005942E7" w:rsidP="005942E7">
      <w:pPr>
        <w:spacing w:after="0"/>
        <w:jc w:val="both"/>
        <w:rPr>
          <w:color w:val="404040" w:themeColor="text1" w:themeTint="BF"/>
        </w:rPr>
      </w:pPr>
    </w:p>
    <w:p w:rsidR="005942E7" w:rsidRPr="00884F71" w:rsidRDefault="00316E66" w:rsidP="005942E7">
      <w:p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hyperlink r:id="rId69" w:history="1">
        <w:r w:rsidR="005942E7" w:rsidRPr="00884F71">
          <w:rPr>
            <w:rStyle w:val="Hypertextovodkaz"/>
            <w:rFonts w:ascii="Calibri" w:hAnsi="Calibri" w:cs="Calibri"/>
            <w:b/>
          </w:rPr>
          <w:t>Sdělení Komise: Evropa v pohybu: Udržitelná mobilita pro Evropu: bezpečná, propojená a čistá</w:t>
        </w:r>
      </w:hyperlink>
    </w:p>
    <w:p w:rsidR="005942E7" w:rsidRPr="00E87A22" w:rsidRDefault="005942E7" w:rsidP="005942E7">
      <w:pPr>
        <w:spacing w:after="0"/>
        <w:jc w:val="both"/>
        <w:rPr>
          <w:color w:val="404040" w:themeColor="text1" w:themeTint="BF"/>
        </w:rPr>
      </w:pPr>
      <w:r w:rsidRPr="00BD2CBF">
        <w:rPr>
          <w:color w:val="404040" w:themeColor="text1" w:themeTint="BF"/>
        </w:rPr>
        <w:t>Třetí a poslední balíček "Evropa v pohybu" dokonč</w:t>
      </w:r>
      <w:r w:rsidR="003D3892">
        <w:rPr>
          <w:color w:val="404040" w:themeColor="text1" w:themeTint="BF"/>
        </w:rPr>
        <w:t>uje</w:t>
      </w:r>
      <w:r w:rsidRPr="00BD2CBF">
        <w:rPr>
          <w:color w:val="404040" w:themeColor="text1" w:themeTint="BF"/>
        </w:rPr>
        <w:t xml:space="preserve"> proces umožňující Evropě plně využít výhod modernizace mobility.</w:t>
      </w:r>
      <w:r>
        <w:rPr>
          <w:color w:val="404040" w:themeColor="text1" w:themeTint="BF"/>
        </w:rPr>
        <w:t xml:space="preserve"> K tomu </w:t>
      </w:r>
      <w:r w:rsidR="00E87A22">
        <w:rPr>
          <w:color w:val="404040" w:themeColor="text1" w:themeTint="BF"/>
        </w:rPr>
        <w:t>musí být</w:t>
      </w:r>
      <w:r>
        <w:rPr>
          <w:color w:val="404040" w:themeColor="text1" w:themeTint="BF"/>
        </w:rPr>
        <w:t xml:space="preserve"> </w:t>
      </w:r>
      <w:r w:rsidRPr="00BD2CBF">
        <w:rPr>
          <w:color w:val="404040" w:themeColor="text1" w:themeTint="BF"/>
        </w:rPr>
        <w:t>mobilita bezpečná, čistá a účinná pro všechny občany EU. Musíme využít nových technologií</w:t>
      </w:r>
      <w:r w:rsidR="003D3892">
        <w:rPr>
          <w:color w:val="404040" w:themeColor="text1" w:themeTint="BF"/>
        </w:rPr>
        <w:t xml:space="preserve"> a </w:t>
      </w:r>
      <w:r w:rsidRPr="00BD2CBF">
        <w:rPr>
          <w:color w:val="404040" w:themeColor="text1" w:themeTint="BF"/>
        </w:rPr>
        <w:t>současně usilova</w:t>
      </w:r>
      <w:r w:rsidR="003D3892">
        <w:rPr>
          <w:color w:val="404040" w:themeColor="text1" w:themeTint="BF"/>
        </w:rPr>
        <w:t>t</w:t>
      </w:r>
      <w:r w:rsidRPr="00BD2CBF">
        <w:rPr>
          <w:color w:val="404040" w:themeColor="text1" w:themeTint="BF"/>
        </w:rPr>
        <w:t xml:space="preserve"> o </w:t>
      </w:r>
      <w:r>
        <w:rPr>
          <w:color w:val="404040" w:themeColor="text1" w:themeTint="BF"/>
        </w:rPr>
        <w:t>bezpečnost</w:t>
      </w:r>
      <w:r w:rsidR="00E87A22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a přístupnost mobility</w:t>
      </w:r>
      <w:r w:rsidRPr="00BD2CBF">
        <w:rPr>
          <w:color w:val="404040" w:themeColor="text1" w:themeTint="BF"/>
        </w:rPr>
        <w:t>, konkurenceschopnost průmyslu, z</w:t>
      </w:r>
      <w:r>
        <w:rPr>
          <w:color w:val="404040" w:themeColor="text1" w:themeTint="BF"/>
        </w:rPr>
        <w:t xml:space="preserve">ajištění </w:t>
      </w:r>
      <w:r w:rsidRPr="00BD2CBF">
        <w:rPr>
          <w:color w:val="404040" w:themeColor="text1" w:themeTint="BF"/>
        </w:rPr>
        <w:t xml:space="preserve">pracovních míst a </w:t>
      </w:r>
      <w:r w:rsidR="00E87A22">
        <w:rPr>
          <w:color w:val="404040" w:themeColor="text1" w:themeTint="BF"/>
        </w:rPr>
        <w:t>jejich</w:t>
      </w:r>
      <w:r w:rsidRPr="00BD2CBF">
        <w:rPr>
          <w:color w:val="404040" w:themeColor="text1" w:themeTint="BF"/>
        </w:rPr>
        <w:t xml:space="preserve"> při</w:t>
      </w:r>
      <w:r>
        <w:rPr>
          <w:color w:val="404040" w:themeColor="text1" w:themeTint="BF"/>
        </w:rPr>
        <w:t>praven</w:t>
      </w:r>
      <w:r w:rsidR="00E87A22">
        <w:rPr>
          <w:color w:val="404040" w:themeColor="text1" w:themeTint="BF"/>
        </w:rPr>
        <w:t>ost</w:t>
      </w:r>
      <w:r>
        <w:rPr>
          <w:color w:val="404040" w:themeColor="text1" w:themeTint="BF"/>
        </w:rPr>
        <w:t xml:space="preserve"> na klimatické</w:t>
      </w:r>
      <w:r w:rsidRPr="00BD2CBF">
        <w:rPr>
          <w:color w:val="404040" w:themeColor="text1" w:themeTint="BF"/>
        </w:rPr>
        <w:t xml:space="preserve"> změn</w:t>
      </w:r>
      <w:r>
        <w:rPr>
          <w:color w:val="404040" w:themeColor="text1" w:themeTint="BF"/>
        </w:rPr>
        <w:t>y</w:t>
      </w:r>
      <w:r w:rsidRPr="00BD2CBF">
        <w:rPr>
          <w:color w:val="404040" w:themeColor="text1" w:themeTint="BF"/>
        </w:rPr>
        <w:t xml:space="preserve">. To </w:t>
      </w:r>
      <w:r>
        <w:rPr>
          <w:color w:val="404040" w:themeColor="text1" w:themeTint="BF"/>
        </w:rPr>
        <w:t xml:space="preserve">si </w:t>
      </w:r>
      <w:r w:rsidRPr="00B06F1C">
        <w:rPr>
          <w:color w:val="404040" w:themeColor="text1" w:themeTint="BF"/>
        </w:rPr>
        <w:t xml:space="preserve">vyžádá plnou angažovanost EU, </w:t>
      </w:r>
      <w:r w:rsidR="00E87A22">
        <w:rPr>
          <w:color w:val="404040" w:themeColor="text1" w:themeTint="BF"/>
        </w:rPr>
        <w:t>ČS</w:t>
      </w:r>
      <w:r w:rsidRPr="00B06F1C">
        <w:rPr>
          <w:color w:val="404040" w:themeColor="text1" w:themeTint="BF"/>
        </w:rPr>
        <w:t xml:space="preserve"> a zúčastněných stran.</w:t>
      </w:r>
      <w:r w:rsidR="00E87A22">
        <w:rPr>
          <w:color w:val="404040" w:themeColor="text1" w:themeTint="BF"/>
        </w:rPr>
        <w:t xml:space="preserve"> </w:t>
      </w:r>
      <w:r>
        <w:rPr>
          <w:rFonts w:ascii="Calibri" w:hAnsi="Calibri" w:cs="Calibri"/>
          <w:color w:val="404040" w:themeColor="text1" w:themeTint="BF"/>
        </w:rPr>
        <w:t xml:space="preserve">Díky </w:t>
      </w:r>
      <w:r w:rsidR="00E87A22">
        <w:rPr>
          <w:rFonts w:ascii="Calibri" w:hAnsi="Calibri" w:cs="Calibri"/>
          <w:color w:val="404040" w:themeColor="text1" w:themeTint="BF"/>
        </w:rPr>
        <w:t>t</w:t>
      </w:r>
      <w:r>
        <w:rPr>
          <w:rFonts w:ascii="Calibri" w:hAnsi="Calibri" w:cs="Calibri"/>
          <w:color w:val="404040" w:themeColor="text1" w:themeTint="BF"/>
        </w:rPr>
        <w:t>echnologiím se mění obchodní modely dopravy, trh práce i</w:t>
      </w:r>
      <w:r w:rsidR="00E87A22">
        <w:rPr>
          <w:rFonts w:ascii="Calibri" w:hAnsi="Calibri" w:cs="Calibri"/>
          <w:color w:val="404040" w:themeColor="text1" w:themeTint="BF"/>
        </w:rPr>
        <w:t> </w:t>
      </w:r>
      <w:r>
        <w:rPr>
          <w:rFonts w:ascii="Calibri" w:hAnsi="Calibri" w:cs="Calibri"/>
          <w:color w:val="404040" w:themeColor="text1" w:themeTint="BF"/>
        </w:rPr>
        <w:t xml:space="preserve">vyžadované dovednosti pracovníků. </w:t>
      </w:r>
      <w:r w:rsidR="00E87A22">
        <w:rPr>
          <w:rFonts w:ascii="Calibri" w:hAnsi="Calibri" w:cs="Calibri"/>
          <w:color w:val="404040" w:themeColor="text1" w:themeTint="BF"/>
        </w:rPr>
        <w:t>H</w:t>
      </w:r>
      <w:r w:rsidRPr="00B06F1C">
        <w:rPr>
          <w:rFonts w:ascii="Calibri" w:hAnsi="Calibri" w:cs="Calibri"/>
          <w:color w:val="404040" w:themeColor="text1" w:themeTint="BF"/>
        </w:rPr>
        <w:t>ranice mezi vozidlem, infrastrukturou a</w:t>
      </w:r>
      <w:r>
        <w:rPr>
          <w:rFonts w:ascii="Calibri" w:hAnsi="Calibri" w:cs="Calibri"/>
          <w:color w:val="404040" w:themeColor="text1" w:themeTint="BF"/>
        </w:rPr>
        <w:t> </w:t>
      </w:r>
      <w:r w:rsidRPr="00B06F1C">
        <w:rPr>
          <w:rFonts w:ascii="Calibri" w:hAnsi="Calibri" w:cs="Calibri"/>
          <w:color w:val="404040" w:themeColor="text1" w:themeTint="BF"/>
        </w:rPr>
        <w:t xml:space="preserve">uživatelem </w:t>
      </w:r>
      <w:r>
        <w:rPr>
          <w:rFonts w:ascii="Calibri" w:hAnsi="Calibri" w:cs="Calibri"/>
          <w:color w:val="404040" w:themeColor="text1" w:themeTint="BF"/>
        </w:rPr>
        <w:t>se stírají</w:t>
      </w:r>
      <w:r w:rsidRPr="00B06F1C">
        <w:rPr>
          <w:rFonts w:ascii="Calibri" w:hAnsi="Calibri" w:cs="Calibri"/>
          <w:color w:val="404040" w:themeColor="text1" w:themeTint="BF"/>
        </w:rPr>
        <w:t xml:space="preserve">. </w:t>
      </w:r>
      <w:r>
        <w:rPr>
          <w:rFonts w:ascii="Calibri" w:hAnsi="Calibri" w:cs="Calibri"/>
          <w:color w:val="404040" w:themeColor="text1" w:themeTint="BF"/>
        </w:rPr>
        <w:t xml:space="preserve">Centrem pozornosti již </w:t>
      </w:r>
      <w:r w:rsidRPr="00B06F1C">
        <w:rPr>
          <w:rFonts w:ascii="Calibri" w:hAnsi="Calibri" w:cs="Calibri"/>
          <w:color w:val="404040" w:themeColor="text1" w:themeTint="BF"/>
        </w:rPr>
        <w:t xml:space="preserve">není dopravní prostředek; </w:t>
      </w:r>
      <w:r>
        <w:rPr>
          <w:rFonts w:ascii="Calibri" w:hAnsi="Calibri" w:cs="Calibri"/>
          <w:color w:val="404040" w:themeColor="text1" w:themeTint="BF"/>
        </w:rPr>
        <w:t xml:space="preserve">právě </w:t>
      </w:r>
      <w:r w:rsidRPr="00B06F1C">
        <w:rPr>
          <w:rFonts w:ascii="Calibri" w:hAnsi="Calibri" w:cs="Calibri"/>
          <w:color w:val="404040" w:themeColor="text1" w:themeTint="BF"/>
        </w:rPr>
        <w:t xml:space="preserve">uživatel </w:t>
      </w:r>
      <w:r w:rsidR="00587926">
        <w:rPr>
          <w:rFonts w:ascii="Calibri" w:hAnsi="Calibri" w:cs="Calibri"/>
          <w:color w:val="404040" w:themeColor="text1" w:themeTint="BF"/>
        </w:rPr>
        <w:t xml:space="preserve">je díky technologiím </w:t>
      </w:r>
      <w:r>
        <w:rPr>
          <w:rFonts w:ascii="Calibri" w:hAnsi="Calibri" w:cs="Calibri"/>
          <w:color w:val="404040" w:themeColor="text1" w:themeTint="BF"/>
        </w:rPr>
        <w:t>st</w:t>
      </w:r>
      <w:r w:rsidRPr="00B06F1C">
        <w:rPr>
          <w:rFonts w:ascii="Calibri" w:hAnsi="Calibri" w:cs="Calibri"/>
          <w:color w:val="404040" w:themeColor="text1" w:themeTint="BF"/>
        </w:rPr>
        <w:t>ále více</w:t>
      </w:r>
      <w:r>
        <w:rPr>
          <w:rFonts w:ascii="Calibri" w:hAnsi="Calibri" w:cs="Calibri"/>
          <w:color w:val="404040" w:themeColor="text1" w:themeTint="BF"/>
        </w:rPr>
        <w:t xml:space="preserve"> ústředním bodem </w:t>
      </w:r>
      <w:r w:rsidRPr="00B06F1C">
        <w:rPr>
          <w:rFonts w:ascii="Calibri" w:hAnsi="Calibri" w:cs="Calibri"/>
          <w:color w:val="404040" w:themeColor="text1" w:themeTint="BF"/>
        </w:rPr>
        <w:t>mnohem pružnějšího a</w:t>
      </w:r>
      <w:r>
        <w:rPr>
          <w:rFonts w:ascii="Calibri" w:hAnsi="Calibri" w:cs="Calibri"/>
          <w:color w:val="404040" w:themeColor="text1" w:themeTint="BF"/>
        </w:rPr>
        <w:t> </w:t>
      </w:r>
      <w:r w:rsidRPr="00B06F1C">
        <w:rPr>
          <w:rFonts w:ascii="Calibri" w:hAnsi="Calibri" w:cs="Calibri"/>
          <w:color w:val="404040" w:themeColor="text1" w:themeTint="BF"/>
        </w:rPr>
        <w:t>integrovanějšího systému mobility.</w:t>
      </w:r>
      <w:r>
        <w:rPr>
          <w:rFonts w:ascii="Calibri" w:hAnsi="Calibri" w:cs="Calibri"/>
          <w:color w:val="404040" w:themeColor="text1" w:themeTint="BF"/>
        </w:rPr>
        <w:t xml:space="preserve"> Na tuto </w:t>
      </w:r>
      <w:r w:rsidRPr="00DB5BC5">
        <w:rPr>
          <w:rFonts w:ascii="Calibri" w:hAnsi="Calibri" w:cs="Calibri"/>
          <w:color w:val="404040" w:themeColor="text1" w:themeTint="BF"/>
        </w:rPr>
        <w:t>revoluc</w:t>
      </w:r>
      <w:r>
        <w:rPr>
          <w:rFonts w:ascii="Calibri" w:hAnsi="Calibri" w:cs="Calibri"/>
          <w:color w:val="404040" w:themeColor="text1" w:themeTint="BF"/>
        </w:rPr>
        <w:t>i</w:t>
      </w:r>
      <w:r w:rsidRPr="00DB5BC5">
        <w:rPr>
          <w:rFonts w:ascii="Calibri" w:hAnsi="Calibri" w:cs="Calibri"/>
          <w:color w:val="404040" w:themeColor="text1" w:themeTint="BF"/>
        </w:rPr>
        <w:t xml:space="preserve"> musí být </w:t>
      </w:r>
      <w:r>
        <w:rPr>
          <w:rFonts w:ascii="Calibri" w:hAnsi="Calibri" w:cs="Calibri"/>
          <w:color w:val="404040" w:themeColor="text1" w:themeTint="BF"/>
        </w:rPr>
        <w:t xml:space="preserve">Evropa </w:t>
      </w:r>
      <w:r w:rsidRPr="00DB5BC5">
        <w:rPr>
          <w:rFonts w:ascii="Calibri" w:hAnsi="Calibri" w:cs="Calibri"/>
          <w:color w:val="404040" w:themeColor="text1" w:themeTint="BF"/>
        </w:rPr>
        <w:t>připravená.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</w:p>
    <w:p w:rsidR="005942E7" w:rsidRPr="001B673E" w:rsidRDefault="005942E7" w:rsidP="005942E7">
      <w:pPr>
        <w:pStyle w:val="Odstavecseseznamem"/>
        <w:numPr>
          <w:ilvl w:val="0"/>
          <w:numId w:val="8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 w:rsidRPr="001B673E">
        <w:rPr>
          <w:rFonts w:ascii="Calibri" w:hAnsi="Calibri" w:cs="Calibri"/>
          <w:b/>
          <w:color w:val="404040" w:themeColor="text1" w:themeTint="BF"/>
        </w:rPr>
        <w:t>Bezpečná mobilita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 w:rsidRPr="007141C8">
        <w:rPr>
          <w:rFonts w:ascii="Calibri" w:hAnsi="Calibri" w:cs="Calibri"/>
          <w:color w:val="404040" w:themeColor="text1" w:themeTint="BF"/>
        </w:rPr>
        <w:t xml:space="preserve">Mezi </w:t>
      </w:r>
      <w:r>
        <w:rPr>
          <w:rFonts w:ascii="Calibri" w:hAnsi="Calibri" w:cs="Calibri"/>
          <w:color w:val="404040" w:themeColor="text1" w:themeTint="BF"/>
        </w:rPr>
        <w:t>roky</w:t>
      </w:r>
      <w:r w:rsidRPr="007141C8">
        <w:rPr>
          <w:rFonts w:ascii="Calibri" w:hAnsi="Calibri" w:cs="Calibri"/>
          <w:color w:val="404040" w:themeColor="text1" w:themeTint="BF"/>
        </w:rPr>
        <w:t xml:space="preserve"> 2001 a 2010 klesl počet úmrtí na silnicích </w:t>
      </w:r>
      <w:r w:rsidR="00D503A6">
        <w:rPr>
          <w:rFonts w:ascii="Calibri" w:hAnsi="Calibri" w:cs="Calibri"/>
          <w:color w:val="404040" w:themeColor="text1" w:themeTint="BF"/>
        </w:rPr>
        <w:t xml:space="preserve">EU </w:t>
      </w:r>
      <w:r w:rsidRPr="007141C8">
        <w:rPr>
          <w:rFonts w:ascii="Calibri" w:hAnsi="Calibri" w:cs="Calibri"/>
          <w:color w:val="404040" w:themeColor="text1" w:themeTint="BF"/>
        </w:rPr>
        <w:t>o 43</w:t>
      </w:r>
      <w:r>
        <w:rPr>
          <w:rFonts w:ascii="Calibri" w:hAnsi="Calibri" w:cs="Calibri"/>
          <w:color w:val="404040" w:themeColor="text1" w:themeTint="BF"/>
        </w:rPr>
        <w:t xml:space="preserve"> </w:t>
      </w:r>
      <w:r w:rsidRPr="007141C8">
        <w:rPr>
          <w:rFonts w:ascii="Calibri" w:hAnsi="Calibri" w:cs="Calibri"/>
          <w:color w:val="404040" w:themeColor="text1" w:themeTint="BF"/>
        </w:rPr>
        <w:t xml:space="preserve">% a mezi </w:t>
      </w:r>
      <w:r>
        <w:rPr>
          <w:rFonts w:ascii="Calibri" w:hAnsi="Calibri" w:cs="Calibri"/>
          <w:color w:val="404040" w:themeColor="text1" w:themeTint="BF"/>
        </w:rPr>
        <w:t>roky</w:t>
      </w:r>
      <w:r w:rsidRPr="007141C8">
        <w:rPr>
          <w:rFonts w:ascii="Calibri" w:hAnsi="Calibri" w:cs="Calibri"/>
          <w:color w:val="404040" w:themeColor="text1" w:themeTint="BF"/>
        </w:rPr>
        <w:t xml:space="preserve"> 2010 a 2017 o dalších 20</w:t>
      </w:r>
      <w:r>
        <w:rPr>
          <w:rFonts w:ascii="Calibri" w:hAnsi="Calibri" w:cs="Calibri"/>
          <w:color w:val="404040" w:themeColor="text1" w:themeTint="BF"/>
        </w:rPr>
        <w:t xml:space="preserve"> </w:t>
      </w:r>
      <w:r w:rsidRPr="007141C8">
        <w:rPr>
          <w:rFonts w:ascii="Calibri" w:hAnsi="Calibri" w:cs="Calibri"/>
          <w:color w:val="404040" w:themeColor="text1" w:themeTint="BF"/>
        </w:rPr>
        <w:t>%. Přesto v</w:t>
      </w:r>
      <w:r w:rsidR="00587926">
        <w:rPr>
          <w:rFonts w:ascii="Calibri" w:hAnsi="Calibri" w:cs="Calibri"/>
          <w:color w:val="404040" w:themeColor="text1" w:themeTint="BF"/>
        </w:rPr>
        <w:t> </w:t>
      </w:r>
      <w:r w:rsidRPr="007141C8">
        <w:rPr>
          <w:rFonts w:ascii="Calibri" w:hAnsi="Calibri" w:cs="Calibri"/>
          <w:color w:val="404040" w:themeColor="text1" w:themeTint="BF"/>
        </w:rPr>
        <w:t xml:space="preserve">roce 2017 na silnicích </w:t>
      </w:r>
      <w:r>
        <w:rPr>
          <w:rFonts w:ascii="Calibri" w:hAnsi="Calibri" w:cs="Calibri"/>
          <w:color w:val="404040" w:themeColor="text1" w:themeTint="BF"/>
        </w:rPr>
        <w:t>zemřelo</w:t>
      </w:r>
      <w:r w:rsidRPr="007141C8">
        <w:rPr>
          <w:rFonts w:ascii="Calibri" w:hAnsi="Calibri" w:cs="Calibri"/>
          <w:color w:val="404040" w:themeColor="text1" w:themeTint="BF"/>
        </w:rPr>
        <w:t xml:space="preserve"> 25 300 osob</w:t>
      </w:r>
      <w:r>
        <w:rPr>
          <w:rFonts w:ascii="Calibri" w:hAnsi="Calibri" w:cs="Calibri"/>
          <w:color w:val="404040" w:themeColor="text1" w:themeTint="BF"/>
        </w:rPr>
        <w:t xml:space="preserve"> (cca</w:t>
      </w:r>
      <w:r w:rsidRPr="007141C8">
        <w:rPr>
          <w:rFonts w:ascii="Calibri" w:hAnsi="Calibri" w:cs="Calibri"/>
          <w:color w:val="404040" w:themeColor="text1" w:themeTint="BF"/>
        </w:rPr>
        <w:t xml:space="preserve"> 70 </w:t>
      </w:r>
      <w:r>
        <w:rPr>
          <w:rFonts w:ascii="Calibri" w:hAnsi="Calibri" w:cs="Calibri"/>
          <w:color w:val="404040" w:themeColor="text1" w:themeTint="BF"/>
        </w:rPr>
        <w:t>úmrtí</w:t>
      </w:r>
      <w:r w:rsidRPr="007141C8">
        <w:rPr>
          <w:rFonts w:ascii="Calibri" w:hAnsi="Calibri" w:cs="Calibri"/>
          <w:color w:val="404040" w:themeColor="text1" w:themeTint="BF"/>
        </w:rPr>
        <w:t xml:space="preserve"> </w:t>
      </w:r>
      <w:r>
        <w:rPr>
          <w:rFonts w:ascii="Calibri" w:hAnsi="Calibri" w:cs="Calibri"/>
          <w:color w:val="404040" w:themeColor="text1" w:themeTint="BF"/>
        </w:rPr>
        <w:t>denně) a</w:t>
      </w:r>
      <w:r w:rsidRPr="007141C8">
        <w:rPr>
          <w:rFonts w:ascii="Calibri" w:hAnsi="Calibri" w:cs="Calibri"/>
          <w:color w:val="404040" w:themeColor="text1" w:themeTint="BF"/>
        </w:rPr>
        <w:t xml:space="preserve"> přibližně 135 000 osob bylo vážně zraněno, včetně velkého procenta chodců, cyklistů a</w:t>
      </w:r>
      <w:r>
        <w:rPr>
          <w:rFonts w:ascii="Calibri" w:hAnsi="Calibri" w:cs="Calibri"/>
          <w:color w:val="404040" w:themeColor="text1" w:themeTint="BF"/>
        </w:rPr>
        <w:t> </w:t>
      </w:r>
      <w:r w:rsidRPr="007141C8">
        <w:rPr>
          <w:rFonts w:ascii="Calibri" w:hAnsi="Calibri" w:cs="Calibri"/>
          <w:color w:val="404040" w:themeColor="text1" w:themeTint="BF"/>
        </w:rPr>
        <w:t xml:space="preserve">motocyklistů. V peněžním vyjádření </w:t>
      </w:r>
      <w:r w:rsidR="00D503A6">
        <w:rPr>
          <w:rFonts w:ascii="Calibri" w:hAnsi="Calibri" w:cs="Calibri"/>
          <w:color w:val="404040" w:themeColor="text1" w:themeTint="BF"/>
        </w:rPr>
        <w:t xml:space="preserve">to představuje </w:t>
      </w:r>
      <w:r w:rsidRPr="007141C8">
        <w:rPr>
          <w:rFonts w:ascii="Calibri" w:hAnsi="Calibri" w:cs="Calibri"/>
          <w:color w:val="404040" w:themeColor="text1" w:themeTint="BF"/>
        </w:rPr>
        <w:t>roční náklad</w:t>
      </w:r>
      <w:r w:rsidR="00D503A6">
        <w:rPr>
          <w:rFonts w:ascii="Calibri" w:hAnsi="Calibri" w:cs="Calibri"/>
          <w:color w:val="404040" w:themeColor="text1" w:themeTint="BF"/>
        </w:rPr>
        <w:t>y</w:t>
      </w:r>
      <w:r w:rsidRPr="007141C8">
        <w:rPr>
          <w:rFonts w:ascii="Calibri" w:hAnsi="Calibri" w:cs="Calibri"/>
          <w:color w:val="404040" w:themeColor="text1" w:themeTint="BF"/>
        </w:rPr>
        <w:t xml:space="preserve"> v</w:t>
      </w:r>
      <w:r>
        <w:rPr>
          <w:rFonts w:ascii="Calibri" w:hAnsi="Calibri" w:cs="Calibri"/>
          <w:color w:val="404040" w:themeColor="text1" w:themeTint="BF"/>
        </w:rPr>
        <w:t>ětší</w:t>
      </w:r>
      <w:r w:rsidRPr="007141C8">
        <w:rPr>
          <w:rFonts w:ascii="Calibri" w:hAnsi="Calibri" w:cs="Calibri"/>
          <w:color w:val="404040" w:themeColor="text1" w:themeTint="BF"/>
        </w:rPr>
        <w:t xml:space="preserve"> než 120 m</w:t>
      </w:r>
      <w:r>
        <w:rPr>
          <w:rFonts w:ascii="Calibri" w:hAnsi="Calibri" w:cs="Calibri"/>
          <w:color w:val="404040" w:themeColor="text1" w:themeTint="BF"/>
        </w:rPr>
        <w:t>ld.</w:t>
      </w:r>
      <w:r w:rsidRPr="007141C8">
        <w:rPr>
          <w:rFonts w:ascii="Calibri" w:hAnsi="Calibri" w:cs="Calibri"/>
          <w:color w:val="404040" w:themeColor="text1" w:themeTint="BF"/>
        </w:rPr>
        <w:t xml:space="preserve"> EUR</w:t>
      </w:r>
      <w:r>
        <w:rPr>
          <w:rFonts w:ascii="Calibri" w:hAnsi="Calibri" w:cs="Calibri"/>
          <w:color w:val="404040" w:themeColor="text1" w:themeTint="BF"/>
        </w:rPr>
        <w:t xml:space="preserve"> (cca</w:t>
      </w:r>
      <w:r w:rsidRPr="007141C8">
        <w:rPr>
          <w:rFonts w:ascii="Calibri" w:hAnsi="Calibri" w:cs="Calibri"/>
          <w:color w:val="404040" w:themeColor="text1" w:themeTint="BF"/>
        </w:rPr>
        <w:t xml:space="preserve"> 1</w:t>
      </w:r>
      <w:r>
        <w:rPr>
          <w:rFonts w:ascii="Calibri" w:hAnsi="Calibri" w:cs="Calibri"/>
          <w:color w:val="404040" w:themeColor="text1" w:themeTint="BF"/>
        </w:rPr>
        <w:t xml:space="preserve"> </w:t>
      </w:r>
      <w:r w:rsidRPr="007141C8">
        <w:rPr>
          <w:rFonts w:ascii="Calibri" w:hAnsi="Calibri" w:cs="Calibri"/>
          <w:color w:val="404040" w:themeColor="text1" w:themeTint="BF"/>
        </w:rPr>
        <w:t>% HDP</w:t>
      </w:r>
      <w:r>
        <w:rPr>
          <w:rFonts w:ascii="Calibri" w:hAnsi="Calibri" w:cs="Calibri"/>
          <w:color w:val="404040" w:themeColor="text1" w:themeTint="BF"/>
        </w:rPr>
        <w:t xml:space="preserve"> EU)</w:t>
      </w:r>
      <w:r w:rsidRPr="007141C8">
        <w:rPr>
          <w:rFonts w:ascii="Calibri" w:hAnsi="Calibri" w:cs="Calibri"/>
          <w:color w:val="404040" w:themeColor="text1" w:themeTint="BF"/>
        </w:rPr>
        <w:t>.</w:t>
      </w:r>
      <w:r>
        <w:rPr>
          <w:rFonts w:ascii="Calibri" w:hAnsi="Calibri" w:cs="Calibri"/>
          <w:color w:val="404040" w:themeColor="text1" w:themeTint="BF"/>
        </w:rPr>
        <w:t xml:space="preserve"> </w:t>
      </w:r>
      <w:r w:rsidR="00D503A6">
        <w:rPr>
          <w:rFonts w:ascii="Calibri" w:hAnsi="Calibri" w:cs="Calibri"/>
          <w:color w:val="404040" w:themeColor="text1" w:themeTint="BF"/>
        </w:rPr>
        <w:t xml:space="preserve">V poslední době se jedná ale jen o </w:t>
      </w:r>
      <w:r>
        <w:rPr>
          <w:rFonts w:ascii="Calibri" w:hAnsi="Calibri" w:cs="Calibri"/>
          <w:color w:val="404040" w:themeColor="text1" w:themeTint="BF"/>
        </w:rPr>
        <w:t>mírné pokroky</w:t>
      </w:r>
      <w:r w:rsidR="00D503A6">
        <w:rPr>
          <w:rFonts w:ascii="Calibri" w:hAnsi="Calibri" w:cs="Calibri"/>
          <w:color w:val="404040" w:themeColor="text1" w:themeTint="BF"/>
        </w:rPr>
        <w:t>.</w:t>
      </w:r>
      <w:r>
        <w:rPr>
          <w:rFonts w:ascii="Calibri" w:hAnsi="Calibri" w:cs="Calibri"/>
          <w:color w:val="404040" w:themeColor="text1" w:themeTint="BF"/>
        </w:rPr>
        <w:t xml:space="preserve"> </w:t>
      </w:r>
      <w:r w:rsidRPr="007141C8">
        <w:rPr>
          <w:rFonts w:ascii="Calibri" w:hAnsi="Calibri" w:cs="Calibri"/>
          <w:color w:val="404040" w:themeColor="text1" w:themeTint="BF"/>
        </w:rPr>
        <w:t>Dosažení cíle EU sníž</w:t>
      </w:r>
      <w:r>
        <w:rPr>
          <w:rFonts w:ascii="Calibri" w:hAnsi="Calibri" w:cs="Calibri"/>
          <w:color w:val="404040" w:themeColor="text1" w:themeTint="BF"/>
        </w:rPr>
        <w:t>ení počtu smrtelných nehod</w:t>
      </w:r>
      <w:r w:rsidRPr="007141C8">
        <w:rPr>
          <w:rFonts w:ascii="Calibri" w:hAnsi="Calibri" w:cs="Calibri"/>
          <w:color w:val="404040" w:themeColor="text1" w:themeTint="BF"/>
        </w:rPr>
        <w:t xml:space="preserve"> na </w:t>
      </w:r>
      <w:r>
        <w:rPr>
          <w:rFonts w:ascii="Calibri" w:hAnsi="Calibri" w:cs="Calibri"/>
          <w:color w:val="404040" w:themeColor="text1" w:themeTint="BF"/>
        </w:rPr>
        <w:t xml:space="preserve">silnicích na </w:t>
      </w:r>
      <w:r w:rsidRPr="007141C8">
        <w:rPr>
          <w:rFonts w:ascii="Calibri" w:hAnsi="Calibri" w:cs="Calibri"/>
          <w:color w:val="404040" w:themeColor="text1" w:themeTint="BF"/>
        </w:rPr>
        <w:t xml:space="preserve">polovinu </w:t>
      </w:r>
      <w:r>
        <w:rPr>
          <w:rFonts w:ascii="Calibri" w:hAnsi="Calibri" w:cs="Calibri"/>
          <w:color w:val="404040" w:themeColor="text1" w:themeTint="BF"/>
        </w:rPr>
        <w:t>mezi roky</w:t>
      </w:r>
      <w:r w:rsidRPr="007141C8">
        <w:rPr>
          <w:rFonts w:ascii="Calibri" w:hAnsi="Calibri" w:cs="Calibri"/>
          <w:color w:val="404040" w:themeColor="text1" w:themeTint="BF"/>
        </w:rPr>
        <w:t xml:space="preserve"> 2010 až 2020 bude </w:t>
      </w:r>
      <w:r w:rsidR="006E64CD">
        <w:rPr>
          <w:rFonts w:ascii="Calibri" w:hAnsi="Calibri" w:cs="Calibri"/>
          <w:color w:val="404040" w:themeColor="text1" w:themeTint="BF"/>
        </w:rPr>
        <w:t xml:space="preserve">tedy </w:t>
      </w:r>
      <w:r w:rsidRPr="007141C8">
        <w:rPr>
          <w:rFonts w:ascii="Calibri" w:hAnsi="Calibri" w:cs="Calibri"/>
          <w:color w:val="404040" w:themeColor="text1" w:themeTint="BF"/>
        </w:rPr>
        <w:t>velkou výzvou</w:t>
      </w:r>
      <w:r>
        <w:rPr>
          <w:rFonts w:ascii="Calibri" w:hAnsi="Calibri" w:cs="Calibri"/>
          <w:color w:val="404040" w:themeColor="text1" w:themeTint="BF"/>
        </w:rPr>
        <w:t>.</w:t>
      </w:r>
      <w:r w:rsidR="00D503A6">
        <w:rPr>
          <w:rFonts w:ascii="Calibri" w:hAnsi="Calibri" w:cs="Calibri"/>
          <w:color w:val="404040" w:themeColor="text1" w:themeTint="BF"/>
        </w:rPr>
        <w:t xml:space="preserve"> </w:t>
      </w:r>
      <w:r w:rsidRPr="00ED70A3">
        <w:rPr>
          <w:rFonts w:ascii="Calibri" w:hAnsi="Calibri" w:cs="Calibri"/>
          <w:color w:val="404040" w:themeColor="text1" w:themeTint="BF"/>
        </w:rPr>
        <w:t xml:space="preserve">Významnými </w:t>
      </w:r>
      <w:r w:rsidRPr="00D16794">
        <w:rPr>
          <w:rFonts w:ascii="Calibri" w:hAnsi="Calibri" w:cs="Calibri"/>
          <w:b/>
          <w:color w:val="404040" w:themeColor="text1" w:themeTint="BF"/>
        </w:rPr>
        <w:t>faktory přispívajícími k nehodovosti</w:t>
      </w:r>
      <w:r w:rsidRPr="00ED70A3">
        <w:rPr>
          <w:rFonts w:ascii="Calibri" w:hAnsi="Calibri" w:cs="Calibri"/>
          <w:color w:val="404040" w:themeColor="text1" w:themeTint="BF"/>
        </w:rPr>
        <w:t xml:space="preserve"> </w:t>
      </w:r>
      <w:r>
        <w:rPr>
          <w:rFonts w:ascii="Calibri" w:hAnsi="Calibri" w:cs="Calibri"/>
          <w:color w:val="404040" w:themeColor="text1" w:themeTint="BF"/>
        </w:rPr>
        <w:t xml:space="preserve">je </w:t>
      </w:r>
      <w:r w:rsidRPr="00ED70A3">
        <w:rPr>
          <w:rFonts w:ascii="Calibri" w:hAnsi="Calibri" w:cs="Calibri"/>
          <w:color w:val="404040" w:themeColor="text1" w:themeTint="BF"/>
        </w:rPr>
        <w:t>rychlost, jízda pod vlivem alkoholu nebo drog a</w:t>
      </w:r>
      <w:r>
        <w:rPr>
          <w:rFonts w:ascii="Calibri" w:hAnsi="Calibri" w:cs="Calibri"/>
          <w:color w:val="404040" w:themeColor="text1" w:themeTint="BF"/>
        </w:rPr>
        <w:t> </w:t>
      </w:r>
      <w:r w:rsidRPr="00ED70A3">
        <w:rPr>
          <w:rFonts w:ascii="Calibri" w:hAnsi="Calibri" w:cs="Calibri"/>
          <w:color w:val="404040" w:themeColor="text1" w:themeTint="BF"/>
        </w:rPr>
        <w:t>ne</w:t>
      </w:r>
      <w:r>
        <w:rPr>
          <w:rFonts w:ascii="Calibri" w:hAnsi="Calibri" w:cs="Calibri"/>
          <w:color w:val="404040" w:themeColor="text1" w:themeTint="BF"/>
        </w:rPr>
        <w:t>používání</w:t>
      </w:r>
      <w:r w:rsidRPr="00ED70A3">
        <w:rPr>
          <w:rFonts w:ascii="Calibri" w:hAnsi="Calibri" w:cs="Calibri"/>
          <w:color w:val="404040" w:themeColor="text1" w:themeTint="BF"/>
        </w:rPr>
        <w:t xml:space="preserve"> bezpečnostní</w:t>
      </w:r>
      <w:r>
        <w:rPr>
          <w:rFonts w:ascii="Calibri" w:hAnsi="Calibri" w:cs="Calibri"/>
          <w:color w:val="404040" w:themeColor="text1" w:themeTint="BF"/>
        </w:rPr>
        <w:t>ch</w:t>
      </w:r>
      <w:r w:rsidRPr="00ED70A3">
        <w:rPr>
          <w:rFonts w:ascii="Calibri" w:hAnsi="Calibri" w:cs="Calibri"/>
          <w:color w:val="404040" w:themeColor="text1" w:themeTint="BF"/>
        </w:rPr>
        <w:t xml:space="preserve"> pás</w:t>
      </w:r>
      <w:r>
        <w:rPr>
          <w:rFonts w:ascii="Calibri" w:hAnsi="Calibri" w:cs="Calibri"/>
          <w:color w:val="404040" w:themeColor="text1" w:themeTint="BF"/>
        </w:rPr>
        <w:t>ů či helem</w:t>
      </w:r>
      <w:r w:rsidRPr="00ED70A3">
        <w:rPr>
          <w:rFonts w:ascii="Calibri" w:hAnsi="Calibri" w:cs="Calibri"/>
          <w:color w:val="404040" w:themeColor="text1" w:themeTint="BF"/>
        </w:rPr>
        <w:t xml:space="preserve">. Zvláštní pozornost </w:t>
      </w:r>
      <w:r w:rsidR="006E64CD">
        <w:rPr>
          <w:rFonts w:ascii="Calibri" w:hAnsi="Calibri" w:cs="Calibri"/>
          <w:color w:val="404040" w:themeColor="text1" w:themeTint="BF"/>
        </w:rPr>
        <w:t xml:space="preserve">musí </w:t>
      </w:r>
      <w:r w:rsidRPr="00ED70A3">
        <w:rPr>
          <w:rFonts w:ascii="Calibri" w:hAnsi="Calibri" w:cs="Calibri"/>
          <w:color w:val="404040" w:themeColor="text1" w:themeTint="BF"/>
        </w:rPr>
        <w:t>být věnována zranitelným účastníkům provozu, zejména cyklistům a chodcům kvůli výraznému nárůstu jejich podílu na počtu úmrtí a zranění.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 w:rsidRPr="00ED70A3">
        <w:rPr>
          <w:rFonts w:ascii="Calibri" w:hAnsi="Calibri" w:cs="Calibri"/>
          <w:color w:val="404040" w:themeColor="text1" w:themeTint="BF"/>
        </w:rPr>
        <w:t>Technologi</w:t>
      </w:r>
      <w:r w:rsidR="00D037F8">
        <w:rPr>
          <w:rFonts w:ascii="Calibri" w:hAnsi="Calibri" w:cs="Calibri"/>
          <w:color w:val="404040" w:themeColor="text1" w:themeTint="BF"/>
        </w:rPr>
        <w:t>e</w:t>
      </w:r>
      <w:r w:rsidR="00DE223A">
        <w:rPr>
          <w:rFonts w:ascii="Calibri" w:hAnsi="Calibri" w:cs="Calibri"/>
          <w:color w:val="404040" w:themeColor="text1" w:themeTint="BF"/>
        </w:rPr>
        <w:t xml:space="preserve"> </w:t>
      </w:r>
      <w:r w:rsidRPr="00ED70A3">
        <w:rPr>
          <w:rFonts w:ascii="Calibri" w:hAnsi="Calibri" w:cs="Calibri"/>
          <w:color w:val="404040" w:themeColor="text1" w:themeTint="BF"/>
        </w:rPr>
        <w:t>vytváří příležitosti k odstranění či kompenzování lidských chyb. V</w:t>
      </w:r>
      <w:r>
        <w:rPr>
          <w:rFonts w:ascii="Calibri" w:hAnsi="Calibri" w:cs="Calibri"/>
          <w:color w:val="404040" w:themeColor="text1" w:themeTint="BF"/>
        </w:rPr>
        <w:t> </w:t>
      </w:r>
      <w:r w:rsidRPr="00ED70A3">
        <w:rPr>
          <w:rFonts w:ascii="Calibri" w:hAnsi="Calibri" w:cs="Calibri"/>
          <w:color w:val="404040" w:themeColor="text1" w:themeTint="BF"/>
        </w:rPr>
        <w:t xml:space="preserve">přechodné fázi </w:t>
      </w:r>
      <w:r w:rsidR="00D037F8">
        <w:rPr>
          <w:rFonts w:ascii="Calibri" w:hAnsi="Calibri" w:cs="Calibri"/>
          <w:color w:val="404040" w:themeColor="text1" w:themeTint="BF"/>
        </w:rPr>
        <w:t xml:space="preserve">však </w:t>
      </w:r>
      <w:r w:rsidR="00DE223A">
        <w:rPr>
          <w:rFonts w:ascii="Calibri" w:hAnsi="Calibri" w:cs="Calibri"/>
          <w:color w:val="404040" w:themeColor="text1" w:themeTint="BF"/>
        </w:rPr>
        <w:t>existují r</w:t>
      </w:r>
      <w:r w:rsidRPr="00ED70A3">
        <w:rPr>
          <w:rFonts w:ascii="Calibri" w:hAnsi="Calibri" w:cs="Calibri"/>
          <w:color w:val="404040" w:themeColor="text1" w:themeTint="BF"/>
        </w:rPr>
        <w:t>izika fungování automatizovaných vozidel a interakce řidiče a vozidl</w:t>
      </w:r>
      <w:r w:rsidR="00DE223A">
        <w:rPr>
          <w:rFonts w:ascii="Calibri" w:hAnsi="Calibri" w:cs="Calibri"/>
          <w:color w:val="404040" w:themeColor="text1" w:themeTint="BF"/>
        </w:rPr>
        <w:t>a</w:t>
      </w:r>
      <w:r w:rsidRPr="00ED70A3">
        <w:rPr>
          <w:rFonts w:ascii="Calibri" w:hAnsi="Calibri" w:cs="Calibri"/>
          <w:color w:val="404040" w:themeColor="text1" w:themeTint="BF"/>
        </w:rPr>
        <w:t xml:space="preserve"> (</w:t>
      </w:r>
      <w:r w:rsidRPr="00A51368">
        <w:rPr>
          <w:rFonts w:ascii="Calibri" w:hAnsi="Calibri" w:cs="Calibri"/>
          <w:b/>
          <w:color w:val="404040" w:themeColor="text1" w:themeTint="BF"/>
        </w:rPr>
        <w:t>rozhraní člověk-stroj</w:t>
      </w:r>
      <w:r w:rsidRPr="00ED70A3">
        <w:rPr>
          <w:rFonts w:ascii="Calibri" w:hAnsi="Calibri" w:cs="Calibri"/>
          <w:color w:val="404040" w:themeColor="text1" w:themeTint="BF"/>
        </w:rPr>
        <w:t>)</w:t>
      </w:r>
      <w:r>
        <w:rPr>
          <w:rFonts w:ascii="Calibri" w:hAnsi="Calibri" w:cs="Calibri"/>
          <w:color w:val="404040" w:themeColor="text1" w:themeTint="BF"/>
        </w:rPr>
        <w:t xml:space="preserve"> či</w:t>
      </w:r>
      <w:r w:rsidRPr="00ED70A3">
        <w:rPr>
          <w:rFonts w:ascii="Calibri" w:hAnsi="Calibri" w:cs="Calibri"/>
          <w:color w:val="404040" w:themeColor="text1" w:themeTint="BF"/>
        </w:rPr>
        <w:t xml:space="preserve"> kybernetické bezpečnosti. </w:t>
      </w:r>
      <w:r w:rsidR="00DE223A">
        <w:rPr>
          <w:rFonts w:ascii="Calibri" w:hAnsi="Calibri" w:cs="Calibri"/>
          <w:color w:val="404040" w:themeColor="text1" w:themeTint="BF"/>
        </w:rPr>
        <w:t>Další</w:t>
      </w:r>
      <w:r w:rsidRPr="00ED70A3">
        <w:rPr>
          <w:rFonts w:ascii="Calibri" w:hAnsi="Calibri" w:cs="Calibri"/>
          <w:color w:val="404040" w:themeColor="text1" w:themeTint="BF"/>
        </w:rPr>
        <w:t xml:space="preserve"> problémy budou následk</w:t>
      </w:r>
      <w:r>
        <w:rPr>
          <w:rFonts w:ascii="Calibri" w:hAnsi="Calibri" w:cs="Calibri"/>
          <w:color w:val="404040" w:themeColor="text1" w:themeTint="BF"/>
        </w:rPr>
        <w:t>em</w:t>
      </w:r>
      <w:r w:rsidRPr="00ED70A3">
        <w:rPr>
          <w:rFonts w:ascii="Calibri" w:hAnsi="Calibri" w:cs="Calibri"/>
          <w:color w:val="404040" w:themeColor="text1" w:themeTint="BF"/>
        </w:rPr>
        <w:t xml:space="preserve"> demografick</w:t>
      </w:r>
      <w:r>
        <w:rPr>
          <w:rFonts w:ascii="Calibri" w:hAnsi="Calibri" w:cs="Calibri"/>
          <w:color w:val="404040" w:themeColor="text1" w:themeTint="BF"/>
        </w:rPr>
        <w:t xml:space="preserve">ého vývoje a </w:t>
      </w:r>
      <w:r w:rsidRPr="00ED70A3">
        <w:rPr>
          <w:rFonts w:ascii="Calibri" w:hAnsi="Calibri" w:cs="Calibri"/>
          <w:color w:val="404040" w:themeColor="text1" w:themeTint="BF"/>
        </w:rPr>
        <w:t>r</w:t>
      </w:r>
      <w:r>
        <w:rPr>
          <w:rFonts w:ascii="Calibri" w:hAnsi="Calibri" w:cs="Calibri"/>
          <w:color w:val="404040" w:themeColor="text1" w:themeTint="BF"/>
        </w:rPr>
        <w:t>ozdílných</w:t>
      </w:r>
      <w:r w:rsidRPr="00ED70A3">
        <w:rPr>
          <w:rFonts w:ascii="Calibri" w:hAnsi="Calibri" w:cs="Calibri"/>
          <w:color w:val="404040" w:themeColor="text1" w:themeTint="BF"/>
        </w:rPr>
        <w:t xml:space="preserve"> přístup</w:t>
      </w:r>
      <w:r>
        <w:rPr>
          <w:rFonts w:ascii="Calibri" w:hAnsi="Calibri" w:cs="Calibri"/>
          <w:color w:val="404040" w:themeColor="text1" w:themeTint="BF"/>
        </w:rPr>
        <w:t>ů</w:t>
      </w:r>
      <w:r w:rsidRPr="00ED70A3">
        <w:rPr>
          <w:rFonts w:ascii="Calibri" w:hAnsi="Calibri" w:cs="Calibri"/>
          <w:color w:val="404040" w:themeColor="text1" w:themeTint="BF"/>
        </w:rPr>
        <w:t xml:space="preserve"> k mobilitě.</w:t>
      </w:r>
    </w:p>
    <w:p w:rsidR="005942E7" w:rsidRDefault="005942E7" w:rsidP="005942E7">
      <w:pPr>
        <w:spacing w:after="0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C</w:t>
      </w:r>
      <w:r w:rsidRPr="00531387">
        <w:rPr>
          <w:color w:val="404040" w:themeColor="text1" w:themeTint="BF"/>
        </w:rPr>
        <w:t xml:space="preserve">ílem EU bude v silniční dopravě se do roku 2050 </w:t>
      </w:r>
      <w:r w:rsidRPr="00322FE9">
        <w:rPr>
          <w:b/>
          <w:color w:val="404040" w:themeColor="text1" w:themeTint="BF"/>
        </w:rPr>
        <w:t>přiblížit nulovému počtu smrtelných nehod</w:t>
      </w:r>
      <w:r w:rsidRPr="00531387">
        <w:rPr>
          <w:color w:val="404040" w:themeColor="text1" w:themeTint="BF"/>
        </w:rPr>
        <w:t xml:space="preserve"> ("Vision Zero")</w:t>
      </w:r>
      <w:r>
        <w:rPr>
          <w:color w:val="404040" w:themeColor="text1" w:themeTint="BF"/>
        </w:rPr>
        <w:t xml:space="preserve"> i </w:t>
      </w:r>
      <w:r w:rsidRPr="00531387">
        <w:rPr>
          <w:color w:val="404040" w:themeColor="text1" w:themeTint="BF"/>
        </w:rPr>
        <w:t xml:space="preserve">vážných zranění. EU bude usilovat o nové přechodné cíle s cílem </w:t>
      </w:r>
      <w:r w:rsidRPr="00D22238">
        <w:rPr>
          <w:b/>
          <w:color w:val="404040" w:themeColor="text1" w:themeTint="BF"/>
        </w:rPr>
        <w:t>snížit počet úmrtí a vážných zranění na silnicích o 50 % mezi roky 2020 a 2030</w:t>
      </w:r>
      <w:r w:rsidRPr="00531387">
        <w:rPr>
          <w:color w:val="404040" w:themeColor="text1" w:themeTint="BF"/>
        </w:rPr>
        <w:t xml:space="preserve"> (s použitím nové společné definice vážn</w:t>
      </w:r>
      <w:r>
        <w:rPr>
          <w:color w:val="404040" w:themeColor="text1" w:themeTint="BF"/>
        </w:rPr>
        <w:t>ých</w:t>
      </w:r>
      <w:r w:rsidRPr="00531387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zranění</w:t>
      </w:r>
      <w:r w:rsidRPr="00531387">
        <w:rPr>
          <w:color w:val="404040" w:themeColor="text1" w:themeTint="BF"/>
        </w:rPr>
        <w:t>).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 w:rsidRPr="00A51368">
        <w:rPr>
          <w:rFonts w:ascii="Calibri" w:hAnsi="Calibri" w:cs="Calibri"/>
          <w:b/>
          <w:color w:val="404040" w:themeColor="text1" w:themeTint="BF"/>
        </w:rPr>
        <w:t>Komise navrhuje společný rámec</w:t>
      </w:r>
      <w:r w:rsidRPr="009350F9">
        <w:rPr>
          <w:rFonts w:ascii="Calibri" w:hAnsi="Calibri" w:cs="Calibri"/>
          <w:color w:val="404040" w:themeColor="text1" w:themeTint="BF"/>
        </w:rPr>
        <w:t xml:space="preserve"> </w:t>
      </w:r>
      <w:r w:rsidRPr="00FF59CA">
        <w:rPr>
          <w:rFonts w:ascii="Calibri" w:hAnsi="Calibri" w:cs="Calibri"/>
          <w:b/>
          <w:color w:val="404040" w:themeColor="text1" w:themeTint="BF"/>
        </w:rPr>
        <w:t>pro bezpečnost silničního provozu</w:t>
      </w:r>
      <w:r w:rsidRPr="009350F9">
        <w:rPr>
          <w:rFonts w:ascii="Calibri" w:hAnsi="Calibri" w:cs="Calibri"/>
          <w:color w:val="404040" w:themeColor="text1" w:themeTint="BF"/>
        </w:rPr>
        <w:t xml:space="preserve"> v období 2021-2030 spolu s akčním plánem, který bude podrobněji rozpracován ve spolupráci s členskými státy do poloviny roku 2019. </w:t>
      </w:r>
      <w:r>
        <w:rPr>
          <w:rFonts w:ascii="Calibri" w:hAnsi="Calibri" w:cs="Calibri"/>
          <w:color w:val="404040" w:themeColor="text1" w:themeTint="BF"/>
        </w:rPr>
        <w:t>R</w:t>
      </w:r>
      <w:r w:rsidRPr="009350F9">
        <w:rPr>
          <w:rFonts w:ascii="Calibri" w:hAnsi="Calibri" w:cs="Calibri"/>
          <w:color w:val="404040" w:themeColor="text1" w:themeTint="BF"/>
        </w:rPr>
        <w:t xml:space="preserve">ámec </w:t>
      </w:r>
      <w:r>
        <w:rPr>
          <w:rFonts w:ascii="Calibri" w:hAnsi="Calibri" w:cs="Calibri"/>
          <w:color w:val="404040" w:themeColor="text1" w:themeTint="BF"/>
        </w:rPr>
        <w:t>bude</w:t>
      </w:r>
      <w:r w:rsidRPr="009350F9">
        <w:rPr>
          <w:rFonts w:ascii="Calibri" w:hAnsi="Calibri" w:cs="Calibri"/>
          <w:color w:val="404040" w:themeColor="text1" w:themeTint="BF"/>
        </w:rPr>
        <w:t xml:space="preserve"> zaveden přístup</w:t>
      </w:r>
      <w:r>
        <w:rPr>
          <w:rFonts w:ascii="Calibri" w:hAnsi="Calibri" w:cs="Calibri"/>
          <w:color w:val="404040" w:themeColor="text1" w:themeTint="BF"/>
        </w:rPr>
        <w:t>em</w:t>
      </w:r>
      <w:r w:rsidRPr="009350F9">
        <w:rPr>
          <w:rFonts w:ascii="Calibri" w:hAnsi="Calibri" w:cs="Calibri"/>
          <w:color w:val="404040" w:themeColor="text1" w:themeTint="BF"/>
        </w:rPr>
        <w:t xml:space="preserve"> "</w:t>
      </w:r>
      <w:r>
        <w:rPr>
          <w:rFonts w:ascii="Calibri" w:hAnsi="Calibri" w:cs="Calibri"/>
          <w:color w:val="404040" w:themeColor="text1" w:themeTint="BF"/>
        </w:rPr>
        <w:t>Safe system</w:t>
      </w:r>
      <w:r w:rsidRPr="009350F9">
        <w:rPr>
          <w:rFonts w:ascii="Calibri" w:hAnsi="Calibri" w:cs="Calibri"/>
          <w:color w:val="404040" w:themeColor="text1" w:themeTint="BF"/>
        </w:rPr>
        <w:t>"</w:t>
      </w:r>
      <w:r w:rsidR="00E469F3">
        <w:rPr>
          <w:rFonts w:ascii="Calibri" w:hAnsi="Calibri" w:cs="Calibri"/>
          <w:color w:val="404040" w:themeColor="text1" w:themeTint="BF"/>
        </w:rPr>
        <w:t xml:space="preserve"> dle </w:t>
      </w:r>
      <w:r w:rsidRPr="009350F9">
        <w:rPr>
          <w:rFonts w:ascii="Calibri" w:hAnsi="Calibri" w:cs="Calibri"/>
          <w:color w:val="404040" w:themeColor="text1" w:themeTint="BF"/>
        </w:rPr>
        <w:t>doporuč</w:t>
      </w:r>
      <w:r w:rsidR="00E469F3">
        <w:rPr>
          <w:rFonts w:ascii="Calibri" w:hAnsi="Calibri" w:cs="Calibri"/>
          <w:color w:val="404040" w:themeColor="text1" w:themeTint="BF"/>
        </w:rPr>
        <w:t>ení</w:t>
      </w:r>
      <w:r w:rsidRPr="009350F9">
        <w:rPr>
          <w:rFonts w:ascii="Calibri" w:hAnsi="Calibri" w:cs="Calibri"/>
          <w:color w:val="404040" w:themeColor="text1" w:themeTint="BF"/>
        </w:rPr>
        <w:t xml:space="preserve"> </w:t>
      </w:r>
      <w:r>
        <w:rPr>
          <w:rFonts w:ascii="Calibri" w:hAnsi="Calibri" w:cs="Calibri"/>
          <w:color w:val="404040" w:themeColor="text1" w:themeTint="BF"/>
        </w:rPr>
        <w:t>W</w:t>
      </w:r>
      <w:r w:rsidR="00FF59CA">
        <w:rPr>
          <w:rFonts w:ascii="Calibri" w:hAnsi="Calibri" w:cs="Calibri"/>
          <w:color w:val="404040" w:themeColor="text1" w:themeTint="BF"/>
        </w:rPr>
        <w:t>H</w:t>
      </w:r>
      <w:r>
        <w:rPr>
          <w:rFonts w:ascii="Calibri" w:hAnsi="Calibri" w:cs="Calibri"/>
          <w:color w:val="404040" w:themeColor="text1" w:themeTint="BF"/>
        </w:rPr>
        <w:t>O</w:t>
      </w:r>
      <w:r w:rsidRPr="009350F9">
        <w:rPr>
          <w:rFonts w:ascii="Calibri" w:hAnsi="Calibri" w:cs="Calibri"/>
          <w:color w:val="404040" w:themeColor="text1" w:themeTint="BF"/>
        </w:rPr>
        <w:t xml:space="preserve">. </w:t>
      </w:r>
      <w:r w:rsidR="00E469F3">
        <w:rPr>
          <w:rFonts w:ascii="Calibri" w:hAnsi="Calibri" w:cs="Calibri"/>
          <w:color w:val="404040" w:themeColor="text1" w:themeTint="BF"/>
        </w:rPr>
        <w:t>C</w:t>
      </w:r>
      <w:r w:rsidRPr="009350F9">
        <w:rPr>
          <w:rFonts w:ascii="Calibri" w:hAnsi="Calibri" w:cs="Calibri"/>
          <w:color w:val="404040" w:themeColor="text1" w:themeTint="BF"/>
        </w:rPr>
        <w:t xml:space="preserve">ílem je </w:t>
      </w:r>
      <w:r>
        <w:rPr>
          <w:rFonts w:ascii="Calibri" w:hAnsi="Calibri" w:cs="Calibri"/>
          <w:color w:val="404040" w:themeColor="text1" w:themeTint="BF"/>
        </w:rPr>
        <w:t xml:space="preserve">reagovat na </w:t>
      </w:r>
      <w:r w:rsidRPr="009350F9">
        <w:rPr>
          <w:rFonts w:ascii="Calibri" w:hAnsi="Calibri" w:cs="Calibri"/>
          <w:color w:val="404040" w:themeColor="text1" w:themeTint="BF"/>
        </w:rPr>
        <w:t>příčin</w:t>
      </w:r>
      <w:r>
        <w:rPr>
          <w:rFonts w:ascii="Calibri" w:hAnsi="Calibri" w:cs="Calibri"/>
          <w:color w:val="404040" w:themeColor="text1" w:themeTint="BF"/>
        </w:rPr>
        <w:t>y</w:t>
      </w:r>
      <w:r w:rsidRPr="009350F9">
        <w:rPr>
          <w:rFonts w:ascii="Calibri" w:hAnsi="Calibri" w:cs="Calibri"/>
          <w:color w:val="404040" w:themeColor="text1" w:themeTint="BF"/>
        </w:rPr>
        <w:t xml:space="preserve"> nehod, </w:t>
      </w:r>
      <w:r>
        <w:rPr>
          <w:rFonts w:ascii="Calibri" w:hAnsi="Calibri" w:cs="Calibri"/>
          <w:color w:val="404040" w:themeColor="text1" w:themeTint="BF"/>
        </w:rPr>
        <w:t>a</w:t>
      </w:r>
      <w:r w:rsidR="00E469F3">
        <w:rPr>
          <w:rFonts w:ascii="Calibri" w:hAnsi="Calibri" w:cs="Calibri"/>
          <w:color w:val="404040" w:themeColor="text1" w:themeTint="BF"/>
        </w:rPr>
        <w:t> </w:t>
      </w:r>
      <w:r w:rsidRPr="009350F9">
        <w:rPr>
          <w:rFonts w:ascii="Calibri" w:hAnsi="Calibri" w:cs="Calibri"/>
          <w:color w:val="404040" w:themeColor="text1" w:themeTint="BF"/>
        </w:rPr>
        <w:t>vytv</w:t>
      </w:r>
      <w:r>
        <w:rPr>
          <w:rFonts w:ascii="Calibri" w:hAnsi="Calibri" w:cs="Calibri"/>
          <w:color w:val="404040" w:themeColor="text1" w:themeTint="BF"/>
        </w:rPr>
        <w:t xml:space="preserve">ořit systém </w:t>
      </w:r>
      <w:r w:rsidRPr="009350F9">
        <w:rPr>
          <w:rFonts w:ascii="Calibri" w:hAnsi="Calibri" w:cs="Calibri"/>
          <w:color w:val="404040" w:themeColor="text1" w:themeTint="BF"/>
        </w:rPr>
        <w:t>ochranných vrstev</w:t>
      </w:r>
      <w:r w:rsidR="00E469F3">
        <w:rPr>
          <w:rFonts w:ascii="Calibri" w:hAnsi="Calibri" w:cs="Calibri"/>
          <w:color w:val="404040" w:themeColor="text1" w:themeTint="BF"/>
        </w:rPr>
        <w:t xml:space="preserve"> - </w:t>
      </w:r>
      <w:r w:rsidRPr="009350F9">
        <w:rPr>
          <w:rFonts w:ascii="Calibri" w:hAnsi="Calibri" w:cs="Calibri"/>
          <w:color w:val="404040" w:themeColor="text1" w:themeTint="BF"/>
        </w:rPr>
        <w:t xml:space="preserve"> </w:t>
      </w:r>
      <w:r w:rsidR="00525571">
        <w:rPr>
          <w:rFonts w:ascii="Calibri" w:hAnsi="Calibri" w:cs="Calibri"/>
          <w:color w:val="404040" w:themeColor="text1" w:themeTint="BF"/>
        </w:rPr>
        <w:t>při</w:t>
      </w:r>
      <w:r w:rsidRPr="009350F9">
        <w:rPr>
          <w:rFonts w:ascii="Calibri" w:hAnsi="Calibri" w:cs="Calibri"/>
          <w:color w:val="404040" w:themeColor="text1" w:themeTint="BF"/>
        </w:rPr>
        <w:t xml:space="preserve"> selhání jednoho prvku bude</w:t>
      </w:r>
      <w:r>
        <w:rPr>
          <w:rFonts w:ascii="Calibri" w:hAnsi="Calibri" w:cs="Calibri"/>
          <w:color w:val="404040" w:themeColor="text1" w:themeTint="BF"/>
        </w:rPr>
        <w:t xml:space="preserve"> selhání</w:t>
      </w:r>
      <w:r w:rsidRPr="009350F9">
        <w:rPr>
          <w:rFonts w:ascii="Calibri" w:hAnsi="Calibri" w:cs="Calibri"/>
          <w:color w:val="404040" w:themeColor="text1" w:themeTint="BF"/>
        </w:rPr>
        <w:t xml:space="preserve"> kompenzovat prvek</w:t>
      </w:r>
      <w:r w:rsidRPr="00A51368">
        <w:rPr>
          <w:rFonts w:ascii="Calibri" w:hAnsi="Calibri" w:cs="Calibri"/>
          <w:color w:val="404040" w:themeColor="text1" w:themeTint="BF"/>
        </w:rPr>
        <w:t xml:space="preserve"> </w:t>
      </w:r>
      <w:r w:rsidRPr="009350F9">
        <w:rPr>
          <w:rFonts w:ascii="Calibri" w:hAnsi="Calibri" w:cs="Calibri"/>
          <w:color w:val="404040" w:themeColor="text1" w:themeTint="BF"/>
        </w:rPr>
        <w:t>jiný.</w:t>
      </w:r>
      <w:r w:rsidR="00D037F8">
        <w:rPr>
          <w:rFonts w:ascii="Calibri" w:hAnsi="Calibri" w:cs="Calibri"/>
          <w:color w:val="404040" w:themeColor="text1" w:themeTint="BF"/>
        </w:rPr>
        <w:t xml:space="preserve"> </w:t>
      </w:r>
      <w:r w:rsidRPr="000B23F6">
        <w:rPr>
          <w:rFonts w:ascii="Calibri" w:hAnsi="Calibri" w:cs="Calibri"/>
          <w:color w:val="404040" w:themeColor="text1" w:themeTint="BF"/>
        </w:rPr>
        <w:t xml:space="preserve">Legislativa </w:t>
      </w:r>
      <w:r w:rsidR="00525571">
        <w:rPr>
          <w:rFonts w:ascii="Calibri" w:hAnsi="Calibri" w:cs="Calibri"/>
          <w:color w:val="404040" w:themeColor="text1" w:themeTint="BF"/>
        </w:rPr>
        <w:t>bude</w:t>
      </w:r>
      <w:r w:rsidRPr="000B23F6">
        <w:rPr>
          <w:rFonts w:ascii="Calibri" w:hAnsi="Calibri" w:cs="Calibri"/>
          <w:color w:val="404040" w:themeColor="text1" w:themeTint="BF"/>
        </w:rPr>
        <w:t xml:space="preserve"> </w:t>
      </w:r>
      <w:r>
        <w:rPr>
          <w:rFonts w:ascii="Calibri" w:hAnsi="Calibri" w:cs="Calibri"/>
          <w:color w:val="404040" w:themeColor="text1" w:themeTint="BF"/>
        </w:rPr>
        <w:t>p</w:t>
      </w:r>
      <w:r w:rsidRPr="000B23F6">
        <w:rPr>
          <w:rFonts w:ascii="Calibri" w:hAnsi="Calibri" w:cs="Calibri"/>
          <w:color w:val="404040" w:themeColor="text1" w:themeTint="BF"/>
        </w:rPr>
        <w:t xml:space="preserve">odpořena použitím </w:t>
      </w:r>
      <w:r>
        <w:rPr>
          <w:rFonts w:ascii="Calibri" w:hAnsi="Calibri" w:cs="Calibri"/>
          <w:color w:val="404040" w:themeColor="text1" w:themeTint="BF"/>
        </w:rPr>
        <w:t>jasných</w:t>
      </w:r>
      <w:r w:rsidRPr="000B23F6">
        <w:rPr>
          <w:rFonts w:ascii="Calibri" w:hAnsi="Calibri" w:cs="Calibri"/>
          <w:color w:val="404040" w:themeColor="text1" w:themeTint="BF"/>
        </w:rPr>
        <w:t xml:space="preserve"> kritérií bezpečnost</w:t>
      </w:r>
      <w:r>
        <w:rPr>
          <w:rFonts w:ascii="Calibri" w:hAnsi="Calibri" w:cs="Calibri"/>
          <w:color w:val="404040" w:themeColor="text1" w:themeTint="BF"/>
        </w:rPr>
        <w:t>i</w:t>
      </w:r>
      <w:r w:rsidRPr="000B23F6">
        <w:rPr>
          <w:rFonts w:ascii="Calibri" w:hAnsi="Calibri" w:cs="Calibri"/>
          <w:color w:val="404040" w:themeColor="text1" w:themeTint="BF"/>
        </w:rPr>
        <w:t xml:space="preserve"> silničního provozu </w:t>
      </w:r>
      <w:r>
        <w:rPr>
          <w:rFonts w:ascii="Calibri" w:hAnsi="Calibri" w:cs="Calibri"/>
          <w:color w:val="404040" w:themeColor="text1" w:themeTint="BF"/>
        </w:rPr>
        <w:t xml:space="preserve">pro podmínky </w:t>
      </w:r>
      <w:r w:rsidRPr="000B23F6">
        <w:rPr>
          <w:rFonts w:ascii="Calibri" w:hAnsi="Calibri" w:cs="Calibri"/>
          <w:color w:val="404040" w:themeColor="text1" w:themeTint="BF"/>
        </w:rPr>
        <w:t xml:space="preserve">financování. </w:t>
      </w:r>
      <w:r w:rsidR="00525571">
        <w:rPr>
          <w:rFonts w:ascii="Calibri" w:hAnsi="Calibri" w:cs="Calibri"/>
          <w:color w:val="404040" w:themeColor="text1" w:themeTint="BF"/>
        </w:rPr>
        <w:t>A</w:t>
      </w:r>
      <w:r w:rsidRPr="000B23F6">
        <w:rPr>
          <w:rFonts w:ascii="Calibri" w:hAnsi="Calibri" w:cs="Calibri"/>
          <w:color w:val="404040" w:themeColor="text1" w:themeTint="BF"/>
        </w:rPr>
        <w:t>kce</w:t>
      </w:r>
      <w:r w:rsidR="00D037F8">
        <w:rPr>
          <w:rFonts w:ascii="Calibri" w:hAnsi="Calibri" w:cs="Calibri"/>
          <w:color w:val="404040" w:themeColor="text1" w:themeTint="BF"/>
        </w:rPr>
        <w:t xml:space="preserve"> s </w:t>
      </w:r>
      <w:r w:rsidRPr="000B23F6">
        <w:rPr>
          <w:rFonts w:ascii="Calibri" w:hAnsi="Calibri" w:cs="Calibri"/>
          <w:color w:val="404040" w:themeColor="text1" w:themeTint="BF"/>
        </w:rPr>
        <w:t>velký</w:t>
      </w:r>
      <w:r w:rsidR="00D037F8">
        <w:rPr>
          <w:rFonts w:ascii="Calibri" w:hAnsi="Calibri" w:cs="Calibri"/>
          <w:color w:val="404040" w:themeColor="text1" w:themeTint="BF"/>
        </w:rPr>
        <w:t>m</w:t>
      </w:r>
      <w:r w:rsidRPr="000B23F6">
        <w:rPr>
          <w:rFonts w:ascii="Calibri" w:hAnsi="Calibri" w:cs="Calibri"/>
          <w:color w:val="404040" w:themeColor="text1" w:themeTint="BF"/>
        </w:rPr>
        <w:t xml:space="preserve"> dopad</w:t>
      </w:r>
      <w:r w:rsidR="00D037F8">
        <w:rPr>
          <w:rFonts w:ascii="Calibri" w:hAnsi="Calibri" w:cs="Calibri"/>
          <w:color w:val="404040" w:themeColor="text1" w:themeTint="BF"/>
        </w:rPr>
        <w:t>em</w:t>
      </w:r>
      <w:r w:rsidRPr="000B23F6">
        <w:rPr>
          <w:rFonts w:ascii="Calibri" w:hAnsi="Calibri" w:cs="Calibri"/>
          <w:color w:val="404040" w:themeColor="text1" w:themeTint="BF"/>
        </w:rPr>
        <w:t xml:space="preserve"> na bezpečnost budou </w:t>
      </w:r>
      <w:r>
        <w:rPr>
          <w:rFonts w:ascii="Calibri" w:hAnsi="Calibri" w:cs="Calibri"/>
          <w:color w:val="404040" w:themeColor="text1" w:themeTint="BF"/>
        </w:rPr>
        <w:t>více</w:t>
      </w:r>
      <w:r w:rsidRPr="000B23F6">
        <w:rPr>
          <w:rFonts w:ascii="Calibri" w:hAnsi="Calibri" w:cs="Calibri"/>
          <w:color w:val="404040" w:themeColor="text1" w:themeTint="BF"/>
        </w:rPr>
        <w:t xml:space="preserve"> financovány </w:t>
      </w:r>
      <w:r>
        <w:rPr>
          <w:rFonts w:ascii="Calibri" w:hAnsi="Calibri" w:cs="Calibri"/>
          <w:color w:val="404040" w:themeColor="text1" w:themeTint="BF"/>
        </w:rPr>
        <w:t xml:space="preserve">přímými </w:t>
      </w:r>
      <w:r w:rsidRPr="000B23F6">
        <w:rPr>
          <w:rFonts w:ascii="Calibri" w:hAnsi="Calibri" w:cs="Calibri"/>
          <w:color w:val="404040" w:themeColor="text1" w:themeTint="BF"/>
        </w:rPr>
        <w:t>prostředk</w:t>
      </w:r>
      <w:r>
        <w:rPr>
          <w:rFonts w:ascii="Calibri" w:hAnsi="Calibri" w:cs="Calibri"/>
          <w:color w:val="404040" w:themeColor="text1" w:themeTint="BF"/>
        </w:rPr>
        <w:t>y</w:t>
      </w:r>
      <w:r w:rsidRPr="000B23F6">
        <w:rPr>
          <w:rFonts w:ascii="Calibri" w:hAnsi="Calibri" w:cs="Calibri"/>
          <w:color w:val="404040" w:themeColor="text1" w:themeTint="BF"/>
        </w:rPr>
        <w:t xml:space="preserve"> EU. Komise rovněž </w:t>
      </w:r>
      <w:r>
        <w:rPr>
          <w:rFonts w:ascii="Calibri" w:hAnsi="Calibri" w:cs="Calibri"/>
          <w:color w:val="404040" w:themeColor="text1" w:themeTint="BF"/>
        </w:rPr>
        <w:t>žádá</w:t>
      </w:r>
      <w:r w:rsidRPr="000B23F6">
        <w:rPr>
          <w:rFonts w:ascii="Calibri" w:hAnsi="Calibri" w:cs="Calibri"/>
          <w:color w:val="404040" w:themeColor="text1" w:themeTint="BF"/>
        </w:rPr>
        <w:t>, aby všechny zúčastněné strany dobrovolně přijaly závazky, které by odpovídaly ambicióznímu cíli "Vision Zero".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</w:p>
    <w:p w:rsidR="005942E7" w:rsidRDefault="002237B0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P</w:t>
      </w:r>
      <w:r w:rsidR="005942E7">
        <w:rPr>
          <w:rFonts w:ascii="Calibri" w:hAnsi="Calibri" w:cs="Calibri"/>
          <w:color w:val="404040" w:themeColor="text1" w:themeTint="BF"/>
        </w:rPr>
        <w:t xml:space="preserve">rvní legislativní </w:t>
      </w:r>
      <w:r>
        <w:rPr>
          <w:rFonts w:ascii="Calibri" w:hAnsi="Calibri" w:cs="Calibri"/>
          <w:color w:val="404040" w:themeColor="text1" w:themeTint="BF"/>
        </w:rPr>
        <w:t>je</w:t>
      </w:r>
      <w:r w:rsidR="005942E7" w:rsidRPr="0074127A">
        <w:rPr>
          <w:rFonts w:ascii="Calibri" w:hAnsi="Calibri" w:cs="Calibri"/>
          <w:color w:val="404040" w:themeColor="text1" w:themeTint="BF"/>
        </w:rPr>
        <w:t xml:space="preserve"> </w:t>
      </w:r>
      <w:r w:rsidR="005942E7" w:rsidRPr="000C77C3">
        <w:rPr>
          <w:rFonts w:ascii="Calibri" w:hAnsi="Calibri" w:cs="Calibri"/>
          <w:b/>
          <w:color w:val="404040" w:themeColor="text1" w:themeTint="BF"/>
        </w:rPr>
        <w:t>balíček nových povinných bezpečnostních opatření</w:t>
      </w:r>
      <w:r w:rsidR="005942E7" w:rsidRPr="0074127A">
        <w:rPr>
          <w:rFonts w:ascii="Calibri" w:hAnsi="Calibri" w:cs="Calibri"/>
          <w:color w:val="404040" w:themeColor="text1" w:themeTint="BF"/>
        </w:rPr>
        <w:t xml:space="preserve"> </w:t>
      </w:r>
      <w:r w:rsidR="005942E7">
        <w:rPr>
          <w:rFonts w:ascii="Calibri" w:hAnsi="Calibri" w:cs="Calibri"/>
          <w:color w:val="404040" w:themeColor="text1" w:themeTint="BF"/>
        </w:rPr>
        <w:t>ve vozidlech</w:t>
      </w:r>
      <w:r w:rsidR="005942E7" w:rsidRPr="0074127A">
        <w:rPr>
          <w:rFonts w:ascii="Calibri" w:hAnsi="Calibri" w:cs="Calibri"/>
          <w:color w:val="404040" w:themeColor="text1" w:themeTint="BF"/>
        </w:rPr>
        <w:t>, kter</w:t>
      </w:r>
      <w:r w:rsidR="005942E7">
        <w:rPr>
          <w:rFonts w:ascii="Calibri" w:hAnsi="Calibri" w:cs="Calibri"/>
          <w:color w:val="404040" w:themeColor="text1" w:themeTint="BF"/>
        </w:rPr>
        <w:t>ý</w:t>
      </w:r>
      <w:r w:rsidR="005942E7" w:rsidRPr="0074127A">
        <w:rPr>
          <w:rFonts w:ascii="Calibri" w:hAnsi="Calibri" w:cs="Calibri"/>
          <w:color w:val="404040" w:themeColor="text1" w:themeTint="BF"/>
        </w:rPr>
        <w:t xml:space="preserve"> </w:t>
      </w:r>
      <w:r w:rsidR="005942E7">
        <w:rPr>
          <w:rFonts w:ascii="Calibri" w:hAnsi="Calibri" w:cs="Calibri"/>
          <w:color w:val="404040" w:themeColor="text1" w:themeTint="BF"/>
        </w:rPr>
        <w:t>zahrnuje</w:t>
      </w:r>
      <w:r w:rsidR="005942E7" w:rsidRPr="0074127A">
        <w:rPr>
          <w:rFonts w:ascii="Calibri" w:hAnsi="Calibri" w:cs="Calibri"/>
          <w:color w:val="404040" w:themeColor="text1" w:themeTint="BF"/>
        </w:rPr>
        <w:t xml:space="preserve"> systémy vyhýbání se nehodám s aktualizovanými opatřeními aktivní a pasivní bezpečnosti. Nové bezpečnostní prvky </w:t>
      </w:r>
      <w:r w:rsidR="005942E7" w:rsidRPr="0074127A">
        <w:rPr>
          <w:rFonts w:ascii="Calibri" w:hAnsi="Calibri" w:cs="Calibri"/>
          <w:color w:val="404040" w:themeColor="text1" w:themeTint="BF"/>
        </w:rPr>
        <w:lastRenderedPageBreak/>
        <w:t>jsou nákladově efektivní</w:t>
      </w:r>
      <w:r>
        <w:rPr>
          <w:rFonts w:ascii="Calibri" w:hAnsi="Calibri" w:cs="Calibri"/>
          <w:color w:val="404040" w:themeColor="text1" w:themeTint="BF"/>
        </w:rPr>
        <w:t>,</w:t>
      </w:r>
      <w:r w:rsidR="005942E7" w:rsidRPr="0074127A">
        <w:rPr>
          <w:rFonts w:ascii="Calibri" w:hAnsi="Calibri" w:cs="Calibri"/>
          <w:color w:val="404040" w:themeColor="text1" w:themeTint="BF"/>
        </w:rPr>
        <w:t xml:space="preserve"> vykazují vysoký potenciál pro výrazné snížení počtu úmrtí a vážných zranění uvnitř i vně vozidla</w:t>
      </w:r>
      <w:r>
        <w:rPr>
          <w:rFonts w:ascii="Calibri" w:hAnsi="Calibri" w:cs="Calibri"/>
          <w:color w:val="404040" w:themeColor="text1" w:themeTint="BF"/>
        </w:rPr>
        <w:t xml:space="preserve"> a </w:t>
      </w:r>
      <w:r w:rsidR="005942E7" w:rsidRPr="0074127A">
        <w:rPr>
          <w:rFonts w:ascii="Calibri" w:hAnsi="Calibri" w:cs="Calibri"/>
          <w:color w:val="404040" w:themeColor="text1" w:themeTint="BF"/>
        </w:rPr>
        <w:t>připravují širší zavádění automatizovaných vozidel.</w:t>
      </w:r>
      <w:r w:rsidR="005942E7">
        <w:rPr>
          <w:rFonts w:ascii="Calibri" w:hAnsi="Calibri" w:cs="Calibri"/>
          <w:color w:val="404040" w:themeColor="text1" w:themeTint="BF"/>
        </w:rPr>
        <w:t xml:space="preserve"> </w:t>
      </w:r>
      <w:r w:rsidR="005942E7" w:rsidRPr="008E2C45">
        <w:rPr>
          <w:rFonts w:ascii="Calibri" w:hAnsi="Calibri" w:cs="Calibri"/>
          <w:color w:val="404040" w:themeColor="text1" w:themeTint="BF"/>
        </w:rPr>
        <w:t xml:space="preserve">Vylepšené </w:t>
      </w:r>
      <w:r>
        <w:rPr>
          <w:rFonts w:ascii="Calibri" w:hAnsi="Calibri" w:cs="Calibri"/>
          <w:color w:val="404040" w:themeColor="text1" w:themeTint="BF"/>
        </w:rPr>
        <w:t>testovací</w:t>
      </w:r>
      <w:r w:rsidR="005942E7" w:rsidRPr="008E2C45">
        <w:rPr>
          <w:rFonts w:ascii="Calibri" w:hAnsi="Calibri" w:cs="Calibri"/>
          <w:color w:val="404040" w:themeColor="text1" w:themeTint="BF"/>
        </w:rPr>
        <w:t xml:space="preserve"> protokoly budou vyžadovat vybav</w:t>
      </w:r>
      <w:r>
        <w:rPr>
          <w:rFonts w:ascii="Calibri" w:hAnsi="Calibri" w:cs="Calibri"/>
          <w:color w:val="404040" w:themeColor="text1" w:themeTint="BF"/>
        </w:rPr>
        <w:t>ení</w:t>
      </w:r>
      <w:r w:rsidR="005942E7" w:rsidRPr="008E2C45">
        <w:rPr>
          <w:rFonts w:ascii="Calibri" w:hAnsi="Calibri" w:cs="Calibri"/>
          <w:color w:val="404040" w:themeColor="text1" w:themeTint="BF"/>
        </w:rPr>
        <w:t xml:space="preserve"> vozid</w:t>
      </w:r>
      <w:r>
        <w:rPr>
          <w:rFonts w:ascii="Calibri" w:hAnsi="Calibri" w:cs="Calibri"/>
          <w:color w:val="404040" w:themeColor="text1" w:themeTint="BF"/>
        </w:rPr>
        <w:t>e</w:t>
      </w:r>
      <w:r w:rsidR="005942E7" w:rsidRPr="008E2C45">
        <w:rPr>
          <w:rFonts w:ascii="Calibri" w:hAnsi="Calibri" w:cs="Calibri"/>
          <w:color w:val="404040" w:themeColor="text1" w:themeTint="BF"/>
        </w:rPr>
        <w:t xml:space="preserve">l pokročilejšími </w:t>
      </w:r>
      <w:r w:rsidR="005942E7">
        <w:rPr>
          <w:rFonts w:ascii="Calibri" w:hAnsi="Calibri" w:cs="Calibri"/>
          <w:color w:val="404040" w:themeColor="text1" w:themeTint="BF"/>
        </w:rPr>
        <w:t xml:space="preserve">zádržnými </w:t>
      </w:r>
      <w:r w:rsidR="005942E7" w:rsidRPr="008E2C45">
        <w:rPr>
          <w:rFonts w:ascii="Calibri" w:hAnsi="Calibri" w:cs="Calibri"/>
          <w:color w:val="404040" w:themeColor="text1" w:themeTint="BF"/>
        </w:rPr>
        <w:t xml:space="preserve">systémy. </w:t>
      </w:r>
      <w:r w:rsidR="005942E7">
        <w:rPr>
          <w:rFonts w:ascii="Calibri" w:hAnsi="Calibri" w:cs="Calibri"/>
          <w:color w:val="404040" w:themeColor="text1" w:themeTint="BF"/>
        </w:rPr>
        <w:t xml:space="preserve">Chodci </w:t>
      </w:r>
      <w:r w:rsidR="005942E7" w:rsidRPr="008E2C45">
        <w:rPr>
          <w:rFonts w:ascii="Calibri" w:hAnsi="Calibri" w:cs="Calibri"/>
          <w:color w:val="404040" w:themeColor="text1" w:themeTint="BF"/>
        </w:rPr>
        <w:t>a cyklist</w:t>
      </w:r>
      <w:r w:rsidR="005942E7">
        <w:rPr>
          <w:rFonts w:ascii="Calibri" w:hAnsi="Calibri" w:cs="Calibri"/>
          <w:color w:val="404040" w:themeColor="text1" w:themeTint="BF"/>
        </w:rPr>
        <w:t>é</w:t>
      </w:r>
      <w:r w:rsidR="005942E7" w:rsidRPr="008E2C45">
        <w:rPr>
          <w:rFonts w:ascii="Calibri" w:hAnsi="Calibri" w:cs="Calibri"/>
          <w:color w:val="404040" w:themeColor="text1" w:themeTint="BF"/>
        </w:rPr>
        <w:t xml:space="preserve"> bud</w:t>
      </w:r>
      <w:r w:rsidR="005942E7">
        <w:rPr>
          <w:rFonts w:ascii="Calibri" w:hAnsi="Calibri" w:cs="Calibri"/>
          <w:color w:val="404040" w:themeColor="text1" w:themeTint="BF"/>
        </w:rPr>
        <w:t>ou l</w:t>
      </w:r>
      <w:r w:rsidR="005942E7" w:rsidRPr="008E2C45">
        <w:rPr>
          <w:rFonts w:ascii="Calibri" w:hAnsi="Calibri" w:cs="Calibri"/>
          <w:color w:val="404040" w:themeColor="text1" w:themeTint="BF"/>
        </w:rPr>
        <w:t>épe chráněn</w:t>
      </w:r>
      <w:r w:rsidR="005942E7">
        <w:rPr>
          <w:rFonts w:ascii="Calibri" w:hAnsi="Calibri" w:cs="Calibri"/>
          <w:color w:val="404040" w:themeColor="text1" w:themeTint="BF"/>
        </w:rPr>
        <w:t>i např.</w:t>
      </w:r>
      <w:r w:rsidR="005942E7" w:rsidRPr="008E2C45">
        <w:rPr>
          <w:rFonts w:ascii="Calibri" w:hAnsi="Calibri" w:cs="Calibri"/>
          <w:color w:val="404040" w:themeColor="text1" w:themeTint="BF"/>
        </w:rPr>
        <w:t xml:space="preserve"> novými </w:t>
      </w:r>
      <w:r w:rsidR="005942E7">
        <w:rPr>
          <w:rFonts w:ascii="Calibri" w:hAnsi="Calibri" w:cs="Calibri"/>
          <w:color w:val="404040" w:themeColor="text1" w:themeTint="BF"/>
        </w:rPr>
        <w:t>možnostmi</w:t>
      </w:r>
      <w:r w:rsidR="005942E7" w:rsidRPr="008E2C45">
        <w:rPr>
          <w:rFonts w:ascii="Calibri" w:hAnsi="Calibri" w:cs="Calibri"/>
          <w:color w:val="404040" w:themeColor="text1" w:themeTint="BF"/>
        </w:rPr>
        <w:t xml:space="preserve"> detekce kolizí a zlepšen</w:t>
      </w:r>
      <w:r w:rsidR="005942E7">
        <w:rPr>
          <w:rFonts w:ascii="Calibri" w:hAnsi="Calibri" w:cs="Calibri"/>
          <w:color w:val="404040" w:themeColor="text1" w:themeTint="BF"/>
        </w:rPr>
        <w:t>ým</w:t>
      </w:r>
      <w:r w:rsidR="005942E7" w:rsidRPr="008E2C45">
        <w:rPr>
          <w:rFonts w:ascii="Calibri" w:hAnsi="Calibri" w:cs="Calibri"/>
          <w:color w:val="404040" w:themeColor="text1" w:themeTint="BF"/>
        </w:rPr>
        <w:t xml:space="preserve"> </w:t>
      </w:r>
      <w:r w:rsidR="005942E7">
        <w:rPr>
          <w:rFonts w:ascii="Calibri" w:hAnsi="Calibri" w:cs="Calibri"/>
          <w:color w:val="404040" w:themeColor="text1" w:themeTint="BF"/>
        </w:rPr>
        <w:t xml:space="preserve">výhledem („direct vision“) </w:t>
      </w:r>
      <w:r w:rsidR="005942E7" w:rsidRPr="008E2C45">
        <w:rPr>
          <w:rFonts w:ascii="Calibri" w:hAnsi="Calibri" w:cs="Calibri"/>
          <w:color w:val="404040" w:themeColor="text1" w:themeTint="BF"/>
        </w:rPr>
        <w:t>řidič</w:t>
      </w:r>
      <w:r w:rsidR="005942E7">
        <w:rPr>
          <w:rFonts w:ascii="Calibri" w:hAnsi="Calibri" w:cs="Calibri"/>
          <w:color w:val="404040" w:themeColor="text1" w:themeTint="BF"/>
        </w:rPr>
        <w:t>ů</w:t>
      </w:r>
      <w:r w:rsidR="005942E7" w:rsidRPr="008E2C45">
        <w:rPr>
          <w:rFonts w:ascii="Calibri" w:hAnsi="Calibri" w:cs="Calibri"/>
          <w:color w:val="404040" w:themeColor="text1" w:themeTint="BF"/>
        </w:rPr>
        <w:t xml:space="preserve"> nákladních automobilů.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 xml:space="preserve">Záměrem </w:t>
      </w:r>
      <w:r w:rsidRPr="00DB643F">
        <w:rPr>
          <w:rFonts w:ascii="Calibri" w:hAnsi="Calibri" w:cs="Calibri"/>
          <w:color w:val="404040" w:themeColor="text1" w:themeTint="BF"/>
        </w:rPr>
        <w:t>druhého leg</w:t>
      </w:r>
      <w:r w:rsidR="00B21A8E">
        <w:rPr>
          <w:rFonts w:ascii="Calibri" w:hAnsi="Calibri" w:cs="Calibri"/>
          <w:color w:val="404040" w:themeColor="text1" w:themeTint="BF"/>
        </w:rPr>
        <w:t>.</w:t>
      </w:r>
      <w:r w:rsidRPr="00DB643F">
        <w:rPr>
          <w:rFonts w:ascii="Calibri" w:hAnsi="Calibri" w:cs="Calibri"/>
          <w:color w:val="404040" w:themeColor="text1" w:themeTint="BF"/>
        </w:rPr>
        <w:t xml:space="preserve"> návrhu je </w:t>
      </w:r>
      <w:r w:rsidRPr="00527E4F">
        <w:rPr>
          <w:rFonts w:ascii="Calibri" w:hAnsi="Calibri" w:cs="Calibri"/>
          <w:b/>
          <w:color w:val="404040" w:themeColor="text1" w:themeTint="BF"/>
        </w:rPr>
        <w:t>zlepšení řízení bezpečnosti silniční infrastruktury</w:t>
      </w:r>
      <w:r w:rsidRPr="00DB643F">
        <w:rPr>
          <w:rFonts w:ascii="Calibri" w:hAnsi="Calibri" w:cs="Calibri"/>
          <w:color w:val="404040" w:themeColor="text1" w:themeTint="BF"/>
        </w:rPr>
        <w:t xml:space="preserve"> s cílem snížit počet nehod a jejich závažnost. Zlepšuje transparentnost a ná</w:t>
      </w:r>
      <w:r>
        <w:rPr>
          <w:rFonts w:ascii="Calibri" w:hAnsi="Calibri" w:cs="Calibri"/>
          <w:color w:val="404040" w:themeColor="text1" w:themeTint="BF"/>
        </w:rPr>
        <w:t>vazné postupy</w:t>
      </w:r>
      <w:r w:rsidRPr="00DB643F">
        <w:rPr>
          <w:rFonts w:ascii="Calibri" w:hAnsi="Calibri" w:cs="Calibri"/>
          <w:color w:val="404040" w:themeColor="text1" w:themeTint="BF"/>
        </w:rPr>
        <w:t xml:space="preserve"> (posuzování dopadů, audity</w:t>
      </w:r>
      <w:r w:rsidR="00B21A8E">
        <w:rPr>
          <w:rFonts w:ascii="Calibri" w:hAnsi="Calibri" w:cs="Calibri"/>
          <w:color w:val="404040" w:themeColor="text1" w:themeTint="BF"/>
        </w:rPr>
        <w:t>)</w:t>
      </w:r>
      <w:r w:rsidRPr="00DB643F">
        <w:rPr>
          <w:rFonts w:ascii="Calibri" w:hAnsi="Calibri" w:cs="Calibri"/>
          <w:color w:val="404040" w:themeColor="text1" w:themeTint="BF"/>
        </w:rPr>
        <w:t xml:space="preserve"> a</w:t>
      </w:r>
      <w:r w:rsidR="00B21A8E">
        <w:rPr>
          <w:rFonts w:ascii="Calibri" w:hAnsi="Calibri" w:cs="Calibri"/>
          <w:color w:val="404040" w:themeColor="text1" w:themeTint="BF"/>
        </w:rPr>
        <w:t> předkládá</w:t>
      </w:r>
      <w:r w:rsidRPr="00DB643F">
        <w:rPr>
          <w:rFonts w:ascii="Calibri" w:hAnsi="Calibri" w:cs="Calibri"/>
          <w:color w:val="404040" w:themeColor="text1" w:themeTint="BF"/>
        </w:rPr>
        <w:t xml:space="preserve"> postup</w:t>
      </w:r>
      <w:r w:rsidR="00B21A8E">
        <w:rPr>
          <w:rFonts w:ascii="Calibri" w:hAnsi="Calibri" w:cs="Calibri"/>
          <w:color w:val="404040" w:themeColor="text1" w:themeTint="BF"/>
        </w:rPr>
        <w:t>y</w:t>
      </w:r>
      <w:r w:rsidRPr="00DB643F">
        <w:rPr>
          <w:rFonts w:ascii="Calibri" w:hAnsi="Calibri" w:cs="Calibri"/>
          <w:color w:val="404040" w:themeColor="text1" w:themeTint="BF"/>
        </w:rPr>
        <w:t xml:space="preserve"> map</w:t>
      </w:r>
      <w:r w:rsidR="00B21A8E">
        <w:rPr>
          <w:rFonts w:ascii="Calibri" w:hAnsi="Calibri" w:cs="Calibri"/>
          <w:color w:val="404040" w:themeColor="text1" w:themeTint="BF"/>
        </w:rPr>
        <w:t>ování</w:t>
      </w:r>
      <w:r w:rsidRPr="00DB643F">
        <w:rPr>
          <w:rFonts w:ascii="Calibri" w:hAnsi="Calibri" w:cs="Calibri"/>
          <w:color w:val="404040" w:themeColor="text1" w:themeTint="BF"/>
        </w:rPr>
        <w:t xml:space="preserve"> rizika nehod </w:t>
      </w:r>
      <w:r>
        <w:rPr>
          <w:rFonts w:ascii="Calibri" w:hAnsi="Calibri" w:cs="Calibri"/>
          <w:color w:val="404040" w:themeColor="text1" w:themeTint="BF"/>
        </w:rPr>
        <w:t>dopravní</w:t>
      </w:r>
      <w:r w:rsidRPr="00DB643F">
        <w:rPr>
          <w:rFonts w:ascii="Calibri" w:hAnsi="Calibri" w:cs="Calibri"/>
          <w:color w:val="404040" w:themeColor="text1" w:themeTint="BF"/>
        </w:rPr>
        <w:t xml:space="preserve"> sít</w:t>
      </w:r>
      <w:r w:rsidR="00B21A8E">
        <w:rPr>
          <w:rFonts w:ascii="Calibri" w:hAnsi="Calibri" w:cs="Calibri"/>
          <w:color w:val="404040" w:themeColor="text1" w:themeTint="BF"/>
        </w:rPr>
        <w:t>ě</w:t>
      </w:r>
      <w:r w:rsidRPr="00DB643F">
        <w:rPr>
          <w:rFonts w:ascii="Calibri" w:hAnsi="Calibri" w:cs="Calibri"/>
          <w:color w:val="404040" w:themeColor="text1" w:themeTint="BF"/>
        </w:rPr>
        <w:t>.</w:t>
      </w:r>
      <w:r>
        <w:rPr>
          <w:rFonts w:ascii="Calibri" w:hAnsi="Calibri" w:cs="Calibri"/>
          <w:color w:val="404040" w:themeColor="text1" w:themeTint="BF"/>
        </w:rPr>
        <w:t xml:space="preserve"> </w:t>
      </w:r>
      <w:r w:rsidRPr="00DB643F">
        <w:rPr>
          <w:rFonts w:ascii="Calibri" w:hAnsi="Calibri" w:cs="Calibri"/>
          <w:color w:val="404040" w:themeColor="text1" w:themeTint="BF"/>
        </w:rPr>
        <w:t>V dohledné budoucnosti bud</w:t>
      </w:r>
      <w:r>
        <w:rPr>
          <w:rFonts w:ascii="Calibri" w:hAnsi="Calibri" w:cs="Calibri"/>
          <w:color w:val="404040" w:themeColor="text1" w:themeTint="BF"/>
        </w:rPr>
        <w:t>ou</w:t>
      </w:r>
      <w:r w:rsidR="00B21A8E">
        <w:rPr>
          <w:rFonts w:ascii="Calibri" w:hAnsi="Calibri" w:cs="Calibri"/>
          <w:color w:val="404040" w:themeColor="text1" w:themeTint="BF"/>
        </w:rPr>
        <w:t xml:space="preserve"> </w:t>
      </w:r>
      <w:r w:rsidRPr="00DB643F">
        <w:rPr>
          <w:rFonts w:ascii="Calibri" w:hAnsi="Calibri" w:cs="Calibri"/>
          <w:color w:val="404040" w:themeColor="text1" w:themeTint="BF"/>
        </w:rPr>
        <w:t xml:space="preserve">technologie muset spoléhat na současnou infrastrukturu. Návrh umožní budoucí nastavení požadavků na výkonnost infrastruktury (např. </w:t>
      </w:r>
      <w:r>
        <w:rPr>
          <w:rFonts w:ascii="Calibri" w:hAnsi="Calibri" w:cs="Calibri"/>
          <w:color w:val="404040" w:themeColor="text1" w:themeTint="BF"/>
        </w:rPr>
        <w:t xml:space="preserve">zřetelné </w:t>
      </w:r>
      <w:r w:rsidRPr="00DB643F">
        <w:rPr>
          <w:rFonts w:ascii="Calibri" w:hAnsi="Calibri" w:cs="Calibri"/>
          <w:color w:val="404040" w:themeColor="text1" w:themeTint="BF"/>
        </w:rPr>
        <w:t xml:space="preserve">dopravní </w:t>
      </w:r>
      <w:r>
        <w:rPr>
          <w:rFonts w:ascii="Calibri" w:hAnsi="Calibri" w:cs="Calibri"/>
          <w:color w:val="404040" w:themeColor="text1" w:themeTint="BF"/>
        </w:rPr>
        <w:t>značení</w:t>
      </w:r>
      <w:r w:rsidRPr="00DB643F">
        <w:rPr>
          <w:rFonts w:ascii="Calibri" w:hAnsi="Calibri" w:cs="Calibri"/>
          <w:color w:val="404040" w:themeColor="text1" w:themeTint="BF"/>
        </w:rPr>
        <w:t>), které jsou nezbytné pro nov</w:t>
      </w:r>
      <w:r>
        <w:rPr>
          <w:rFonts w:ascii="Calibri" w:hAnsi="Calibri" w:cs="Calibri"/>
          <w:color w:val="404040" w:themeColor="text1" w:themeTint="BF"/>
        </w:rPr>
        <w:t xml:space="preserve">é technologie (např. </w:t>
      </w:r>
      <w:r w:rsidRPr="00DB643F">
        <w:rPr>
          <w:rFonts w:ascii="Calibri" w:hAnsi="Calibri" w:cs="Calibri"/>
          <w:color w:val="404040" w:themeColor="text1" w:themeTint="BF"/>
        </w:rPr>
        <w:t xml:space="preserve">systémy </w:t>
      </w:r>
      <w:r>
        <w:rPr>
          <w:rFonts w:ascii="Calibri" w:hAnsi="Calibri" w:cs="Calibri"/>
          <w:color w:val="404040" w:themeColor="text1" w:themeTint="BF"/>
        </w:rPr>
        <w:t>pro jízdu v</w:t>
      </w:r>
      <w:r w:rsidRPr="00DB643F">
        <w:rPr>
          <w:rFonts w:ascii="Calibri" w:hAnsi="Calibri" w:cs="Calibri"/>
          <w:color w:val="404040" w:themeColor="text1" w:themeTint="BF"/>
        </w:rPr>
        <w:t xml:space="preserve"> pru</w:t>
      </w:r>
      <w:r>
        <w:rPr>
          <w:rFonts w:ascii="Calibri" w:hAnsi="Calibri" w:cs="Calibri"/>
          <w:color w:val="404040" w:themeColor="text1" w:themeTint="BF"/>
        </w:rPr>
        <w:t>zích)</w:t>
      </w:r>
      <w:r w:rsidRPr="00DB643F">
        <w:rPr>
          <w:rFonts w:ascii="Calibri" w:hAnsi="Calibri" w:cs="Calibri"/>
          <w:color w:val="404040" w:themeColor="text1" w:themeTint="BF"/>
        </w:rPr>
        <w:t xml:space="preserve">. 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</w:p>
    <w:p w:rsidR="005942E7" w:rsidRPr="001B673E" w:rsidRDefault="005942E7" w:rsidP="005942E7">
      <w:pPr>
        <w:pStyle w:val="Odstavecseseznamem"/>
        <w:numPr>
          <w:ilvl w:val="0"/>
          <w:numId w:val="8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 w:rsidRPr="001B673E">
        <w:rPr>
          <w:rFonts w:ascii="Calibri" w:hAnsi="Calibri" w:cs="Calibri"/>
          <w:b/>
          <w:color w:val="404040" w:themeColor="text1" w:themeTint="BF"/>
        </w:rPr>
        <w:t>Propojená a automatizovaná doprava</w:t>
      </w:r>
    </w:p>
    <w:p w:rsidR="005942E7" w:rsidRPr="00DB7C7D" w:rsidRDefault="005942E7" w:rsidP="005942E7">
      <w:pPr>
        <w:spacing w:after="0"/>
        <w:jc w:val="both"/>
        <w:rPr>
          <w:rFonts w:ascii="Calibri" w:hAnsi="Calibri" w:cs="Calibri"/>
          <w:b/>
          <w:i/>
          <w:color w:val="404040" w:themeColor="text1" w:themeTint="BF"/>
        </w:rPr>
      </w:pPr>
      <w:r w:rsidRPr="00DB7C7D">
        <w:rPr>
          <w:rFonts w:ascii="Calibri" w:hAnsi="Calibri" w:cs="Calibri"/>
          <w:b/>
          <w:i/>
          <w:color w:val="404040" w:themeColor="text1" w:themeTint="BF"/>
        </w:rPr>
        <w:t>Strategie pro zavádění propojených a automatizovaných vozidel</w:t>
      </w:r>
    </w:p>
    <w:p w:rsidR="005942E7" w:rsidRPr="00042FF9" w:rsidRDefault="005942E7" w:rsidP="005942E7">
      <w:pPr>
        <w:spacing w:after="0"/>
        <w:jc w:val="both"/>
        <w:rPr>
          <w:color w:val="404040" w:themeColor="text1" w:themeTint="BF"/>
        </w:rPr>
      </w:pPr>
      <w:r w:rsidRPr="00BD79A6">
        <w:rPr>
          <w:color w:val="404040" w:themeColor="text1" w:themeTint="BF"/>
        </w:rPr>
        <w:t xml:space="preserve">Aby Evropa zůstala lídrem automatizace vozidel a udržela pracovní místa, </w:t>
      </w:r>
      <w:r w:rsidR="00B21A8E">
        <w:rPr>
          <w:color w:val="404040" w:themeColor="text1" w:themeTint="BF"/>
        </w:rPr>
        <w:t>musí být</w:t>
      </w:r>
      <w:r w:rsidRPr="00BD79A6">
        <w:rPr>
          <w:color w:val="404040" w:themeColor="text1" w:themeTint="BF"/>
        </w:rPr>
        <w:t xml:space="preserve"> klíčové technologie vyvinuty v Evropě, autonomní jízda bezpečná a právní rámec moderní a nabíze</w:t>
      </w:r>
      <w:r w:rsidR="00B21A8E">
        <w:rPr>
          <w:color w:val="404040" w:themeColor="text1" w:themeTint="BF"/>
        </w:rPr>
        <w:t>jící</w:t>
      </w:r>
      <w:r w:rsidRPr="00BD79A6">
        <w:rPr>
          <w:color w:val="404040" w:themeColor="text1" w:themeTint="BF"/>
        </w:rPr>
        <w:t xml:space="preserve"> prostředí vhodné pro technologický pokrok.</w:t>
      </w:r>
      <w:r w:rsidR="00B21A8E">
        <w:rPr>
          <w:color w:val="404040" w:themeColor="text1" w:themeTint="BF"/>
        </w:rPr>
        <w:t xml:space="preserve"> </w:t>
      </w:r>
      <w:r w:rsidRPr="00042FF9">
        <w:rPr>
          <w:color w:val="404040" w:themeColor="text1" w:themeTint="BF"/>
        </w:rPr>
        <w:t>Komise navrhuje přístup založený na třech vzájemně propojených strategických cílech:</w:t>
      </w:r>
    </w:p>
    <w:p w:rsidR="005942E7" w:rsidRPr="00042FF9" w:rsidRDefault="005942E7" w:rsidP="005942E7">
      <w:pPr>
        <w:pStyle w:val="Odstavecseseznamem"/>
        <w:numPr>
          <w:ilvl w:val="0"/>
          <w:numId w:val="7"/>
        </w:numPr>
        <w:spacing w:after="0"/>
        <w:jc w:val="both"/>
        <w:rPr>
          <w:rFonts w:ascii="Calibri" w:hAnsi="Calibri" w:cs="Calibri"/>
          <w:color w:val="404040" w:themeColor="text1" w:themeTint="BF"/>
        </w:rPr>
      </w:pPr>
      <w:r w:rsidRPr="00042FF9">
        <w:rPr>
          <w:color w:val="404040" w:themeColor="text1" w:themeTint="BF"/>
        </w:rPr>
        <w:t>vývoj klíčových technologií a infrastruktury s cílem posílit konkurenceschopnost EU;</w:t>
      </w:r>
    </w:p>
    <w:p w:rsidR="005942E7" w:rsidRPr="00CC24C7" w:rsidRDefault="005942E7" w:rsidP="005942E7">
      <w:pPr>
        <w:pStyle w:val="Odstavecseseznamem"/>
        <w:numPr>
          <w:ilvl w:val="0"/>
          <w:numId w:val="7"/>
        </w:numPr>
        <w:spacing w:after="0"/>
        <w:jc w:val="both"/>
        <w:rPr>
          <w:rFonts w:ascii="Calibri" w:hAnsi="Calibri" w:cs="Calibri"/>
          <w:color w:val="404040" w:themeColor="text1" w:themeTint="BF"/>
        </w:rPr>
      </w:pPr>
      <w:r w:rsidRPr="00042FF9">
        <w:rPr>
          <w:color w:val="404040" w:themeColor="text1" w:themeTint="BF"/>
        </w:rPr>
        <w:t xml:space="preserve">zajištění bezpečného nasazení </w:t>
      </w:r>
      <w:r w:rsidRPr="00CC24C7">
        <w:rPr>
          <w:color w:val="404040" w:themeColor="text1" w:themeTint="BF"/>
        </w:rPr>
        <w:t>propojeného a automatizovaného řízení;</w:t>
      </w:r>
    </w:p>
    <w:p w:rsidR="005942E7" w:rsidRPr="00CC24C7" w:rsidRDefault="005942E7" w:rsidP="005942E7">
      <w:pPr>
        <w:pStyle w:val="Odstavecseseznamem"/>
        <w:numPr>
          <w:ilvl w:val="0"/>
          <w:numId w:val="7"/>
        </w:numPr>
        <w:spacing w:after="0"/>
        <w:jc w:val="both"/>
        <w:rPr>
          <w:rFonts w:ascii="Calibri" w:hAnsi="Calibri" w:cs="Calibri"/>
          <w:color w:val="404040" w:themeColor="text1" w:themeTint="BF"/>
        </w:rPr>
      </w:pPr>
      <w:r w:rsidRPr="00CC24C7">
        <w:rPr>
          <w:color w:val="404040" w:themeColor="text1" w:themeTint="BF"/>
        </w:rPr>
        <w:t>řešení sociálně-ekonomických dopadů mobility bez řidiče.</w:t>
      </w:r>
    </w:p>
    <w:p w:rsidR="005942E7" w:rsidRPr="00CC24C7" w:rsidRDefault="005942E7" w:rsidP="005942E7">
      <w:p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</w:p>
    <w:p w:rsidR="005942E7" w:rsidRPr="00CC24C7" w:rsidRDefault="005942E7" w:rsidP="005942E7">
      <w:pPr>
        <w:spacing w:after="0"/>
        <w:jc w:val="both"/>
        <w:rPr>
          <w:b/>
          <w:i/>
          <w:color w:val="404040" w:themeColor="text1" w:themeTint="BF"/>
        </w:rPr>
      </w:pPr>
      <w:r w:rsidRPr="00CC24C7">
        <w:rPr>
          <w:b/>
          <w:i/>
          <w:color w:val="404040" w:themeColor="text1" w:themeTint="BF"/>
        </w:rPr>
        <w:t>Vytvoření digitálního prostředí pro výměnu informací v dopravě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Dva</w:t>
      </w:r>
      <w:r w:rsidRPr="00CC24C7">
        <w:rPr>
          <w:rFonts w:ascii="Calibri" w:hAnsi="Calibri" w:cs="Calibri"/>
          <w:color w:val="404040" w:themeColor="text1" w:themeTint="BF"/>
        </w:rPr>
        <w:t xml:space="preserve"> návrhy </w:t>
      </w:r>
      <w:r>
        <w:rPr>
          <w:rFonts w:ascii="Calibri" w:hAnsi="Calibri" w:cs="Calibri"/>
          <w:color w:val="404040" w:themeColor="text1" w:themeTint="BF"/>
        </w:rPr>
        <w:t xml:space="preserve">jsou </w:t>
      </w:r>
      <w:r w:rsidRPr="00CC24C7">
        <w:rPr>
          <w:rFonts w:ascii="Calibri" w:hAnsi="Calibri" w:cs="Calibri"/>
          <w:color w:val="404040" w:themeColor="text1" w:themeTint="BF"/>
        </w:rPr>
        <w:t>zaměřené na vytvoření plně digitálního a harmonizovaného prostředí pro výměnu informací mezi doprav</w:t>
      </w:r>
      <w:r>
        <w:rPr>
          <w:rFonts w:ascii="Calibri" w:hAnsi="Calibri" w:cs="Calibri"/>
          <w:color w:val="404040" w:themeColor="text1" w:themeTint="BF"/>
        </w:rPr>
        <w:t>ci</w:t>
      </w:r>
      <w:r w:rsidRPr="00CC24C7">
        <w:rPr>
          <w:rFonts w:ascii="Calibri" w:hAnsi="Calibri" w:cs="Calibri"/>
          <w:color w:val="404040" w:themeColor="text1" w:themeTint="BF"/>
        </w:rPr>
        <w:t xml:space="preserve"> a veřejnými orgány. </w:t>
      </w:r>
      <w:r>
        <w:rPr>
          <w:rFonts w:ascii="Calibri" w:hAnsi="Calibri" w:cs="Calibri"/>
          <w:color w:val="404040" w:themeColor="text1" w:themeTint="BF"/>
        </w:rPr>
        <w:t>N</w:t>
      </w:r>
      <w:r w:rsidRPr="00CC24C7">
        <w:rPr>
          <w:rFonts w:ascii="Calibri" w:hAnsi="Calibri" w:cs="Calibri"/>
          <w:color w:val="404040" w:themeColor="text1" w:themeTint="BF"/>
        </w:rPr>
        <w:t>ařízení o zřízení jednotného portálu pro evropské námořní prostředí a</w:t>
      </w:r>
      <w:r w:rsidR="00B21A8E">
        <w:rPr>
          <w:rFonts w:ascii="Calibri" w:hAnsi="Calibri" w:cs="Calibri"/>
          <w:color w:val="404040" w:themeColor="text1" w:themeTint="BF"/>
        </w:rPr>
        <w:t> </w:t>
      </w:r>
      <w:r w:rsidRPr="00CC24C7">
        <w:rPr>
          <w:rFonts w:ascii="Calibri" w:hAnsi="Calibri" w:cs="Calibri"/>
          <w:color w:val="404040" w:themeColor="text1" w:themeTint="BF"/>
        </w:rPr>
        <w:t>o</w:t>
      </w:r>
      <w:r w:rsidR="00B21A8E">
        <w:rPr>
          <w:rFonts w:ascii="Calibri" w:hAnsi="Calibri" w:cs="Calibri"/>
          <w:color w:val="404040" w:themeColor="text1" w:themeTint="BF"/>
        </w:rPr>
        <w:t> </w:t>
      </w:r>
      <w:r w:rsidRPr="00CC24C7">
        <w:rPr>
          <w:rFonts w:ascii="Calibri" w:hAnsi="Calibri" w:cs="Calibri"/>
          <w:color w:val="404040" w:themeColor="text1" w:themeTint="BF"/>
        </w:rPr>
        <w:t xml:space="preserve">elektronickém předávání informací v nákladní dopravě se doplňují a umožňují </w:t>
      </w:r>
      <w:r w:rsidRPr="009E548A">
        <w:rPr>
          <w:rFonts w:ascii="Calibri" w:hAnsi="Calibri" w:cs="Calibri"/>
          <w:color w:val="404040" w:themeColor="text1" w:themeTint="BF"/>
        </w:rPr>
        <w:t>elektronick</w:t>
      </w:r>
      <w:r w:rsidR="00B143F3">
        <w:rPr>
          <w:rFonts w:ascii="Calibri" w:hAnsi="Calibri" w:cs="Calibri"/>
          <w:color w:val="404040" w:themeColor="text1" w:themeTint="BF"/>
        </w:rPr>
        <w:t>ou</w:t>
      </w:r>
      <w:r w:rsidRPr="009E548A">
        <w:rPr>
          <w:rFonts w:ascii="Calibri" w:hAnsi="Calibri" w:cs="Calibri"/>
          <w:color w:val="404040" w:themeColor="text1" w:themeTint="BF"/>
        </w:rPr>
        <w:t xml:space="preserve"> a</w:t>
      </w:r>
      <w:r>
        <w:rPr>
          <w:rFonts w:ascii="Calibri" w:hAnsi="Calibri" w:cs="Calibri"/>
          <w:color w:val="404040" w:themeColor="text1" w:themeTint="BF"/>
        </w:rPr>
        <w:t> </w:t>
      </w:r>
      <w:r w:rsidRPr="009E548A">
        <w:rPr>
          <w:rFonts w:ascii="Calibri" w:hAnsi="Calibri" w:cs="Calibri"/>
          <w:color w:val="404040" w:themeColor="text1" w:themeTint="BF"/>
        </w:rPr>
        <w:t>zjednodušen</w:t>
      </w:r>
      <w:r>
        <w:rPr>
          <w:rFonts w:ascii="Calibri" w:hAnsi="Calibri" w:cs="Calibri"/>
          <w:color w:val="404040" w:themeColor="text1" w:themeTint="BF"/>
        </w:rPr>
        <w:t>ou</w:t>
      </w:r>
      <w:r w:rsidRPr="009E548A">
        <w:rPr>
          <w:rFonts w:ascii="Calibri" w:hAnsi="Calibri" w:cs="Calibri"/>
          <w:color w:val="404040" w:themeColor="text1" w:themeTint="BF"/>
        </w:rPr>
        <w:t xml:space="preserve"> výměn</w:t>
      </w:r>
      <w:r>
        <w:rPr>
          <w:rFonts w:ascii="Calibri" w:hAnsi="Calibri" w:cs="Calibri"/>
          <w:color w:val="404040" w:themeColor="text1" w:themeTint="BF"/>
        </w:rPr>
        <w:t>u informací</w:t>
      </w:r>
      <w:r w:rsidRPr="009E548A">
        <w:rPr>
          <w:rFonts w:ascii="Calibri" w:hAnsi="Calibri" w:cs="Calibri"/>
          <w:color w:val="404040" w:themeColor="text1" w:themeTint="BF"/>
        </w:rPr>
        <w:t xml:space="preserve"> mezi podniky a</w:t>
      </w:r>
      <w:r>
        <w:rPr>
          <w:rFonts w:ascii="Calibri" w:hAnsi="Calibri" w:cs="Calibri"/>
          <w:color w:val="404040" w:themeColor="text1" w:themeTint="BF"/>
        </w:rPr>
        <w:t> </w:t>
      </w:r>
      <w:r w:rsidRPr="009E548A">
        <w:rPr>
          <w:rFonts w:ascii="Calibri" w:hAnsi="Calibri" w:cs="Calibri"/>
          <w:color w:val="404040" w:themeColor="text1" w:themeTint="BF"/>
        </w:rPr>
        <w:t xml:space="preserve">orgány. </w:t>
      </w:r>
      <w:r>
        <w:rPr>
          <w:rFonts w:ascii="Calibri" w:hAnsi="Calibri" w:cs="Calibri"/>
          <w:color w:val="404040" w:themeColor="text1" w:themeTint="BF"/>
        </w:rPr>
        <w:t>N</w:t>
      </w:r>
      <w:r w:rsidRPr="009E548A">
        <w:rPr>
          <w:rFonts w:ascii="Calibri" w:hAnsi="Calibri" w:cs="Calibri"/>
          <w:color w:val="404040" w:themeColor="text1" w:themeTint="BF"/>
        </w:rPr>
        <w:t>ávrhy sníží byrokracii a usnadní digitální informační toky pro logistické operace</w:t>
      </w:r>
      <w:r w:rsidR="00B143F3">
        <w:rPr>
          <w:rFonts w:ascii="Calibri" w:hAnsi="Calibri" w:cs="Calibri"/>
          <w:color w:val="404040" w:themeColor="text1" w:themeTint="BF"/>
        </w:rPr>
        <w:t xml:space="preserve"> a lépe</w:t>
      </w:r>
      <w:r w:rsidRPr="009E548A">
        <w:rPr>
          <w:rFonts w:ascii="Calibri" w:hAnsi="Calibri" w:cs="Calibri"/>
          <w:color w:val="404040" w:themeColor="text1" w:themeTint="BF"/>
        </w:rPr>
        <w:t xml:space="preserve"> propojí různ</w:t>
      </w:r>
      <w:r w:rsidR="00B143F3">
        <w:rPr>
          <w:rFonts w:ascii="Calibri" w:hAnsi="Calibri" w:cs="Calibri"/>
          <w:color w:val="404040" w:themeColor="text1" w:themeTint="BF"/>
        </w:rPr>
        <w:t>é módy</w:t>
      </w:r>
      <w:r w:rsidRPr="009E548A">
        <w:rPr>
          <w:rFonts w:ascii="Calibri" w:hAnsi="Calibri" w:cs="Calibri"/>
          <w:color w:val="404040" w:themeColor="text1" w:themeTint="BF"/>
        </w:rPr>
        <w:t xml:space="preserve"> dopravy.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</w:p>
    <w:p w:rsidR="005942E7" w:rsidRPr="001B673E" w:rsidRDefault="005942E7" w:rsidP="005942E7">
      <w:pPr>
        <w:pStyle w:val="Odstavecseseznamem"/>
        <w:numPr>
          <w:ilvl w:val="0"/>
          <w:numId w:val="8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 w:rsidRPr="001B673E">
        <w:rPr>
          <w:rFonts w:ascii="Calibri" w:hAnsi="Calibri" w:cs="Calibri"/>
          <w:b/>
          <w:color w:val="404040" w:themeColor="text1" w:themeTint="BF"/>
        </w:rPr>
        <w:t>Čistá mobilita</w:t>
      </w:r>
    </w:p>
    <w:p w:rsidR="005942E7" w:rsidRPr="001B673E" w:rsidRDefault="005942E7" w:rsidP="005942E7">
      <w:pPr>
        <w:spacing w:after="0"/>
        <w:jc w:val="both"/>
        <w:rPr>
          <w:rFonts w:ascii="Calibri" w:hAnsi="Calibri" w:cs="Calibri"/>
          <w:b/>
          <w:i/>
          <w:color w:val="404040" w:themeColor="text1" w:themeTint="BF"/>
        </w:rPr>
      </w:pPr>
      <w:r w:rsidRPr="001B673E">
        <w:rPr>
          <w:rFonts w:ascii="Calibri" w:hAnsi="Calibri" w:cs="Calibri"/>
          <w:b/>
          <w:i/>
          <w:color w:val="404040" w:themeColor="text1" w:themeTint="BF"/>
        </w:rPr>
        <w:t>Strategický akční plán pro baterie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D</w:t>
      </w:r>
      <w:r w:rsidRPr="001B673E">
        <w:rPr>
          <w:rFonts w:ascii="Calibri" w:hAnsi="Calibri" w:cs="Calibri"/>
          <w:color w:val="404040" w:themeColor="text1" w:themeTint="BF"/>
        </w:rPr>
        <w:t xml:space="preserve">le </w:t>
      </w:r>
      <w:r>
        <w:rPr>
          <w:rFonts w:ascii="Calibri" w:hAnsi="Calibri" w:cs="Calibri"/>
          <w:color w:val="404040" w:themeColor="text1" w:themeTint="BF"/>
        </w:rPr>
        <w:t>odhadů</w:t>
      </w:r>
      <w:r w:rsidRPr="001B673E">
        <w:rPr>
          <w:rFonts w:ascii="Calibri" w:hAnsi="Calibri" w:cs="Calibri"/>
          <w:color w:val="404040" w:themeColor="text1" w:themeTint="BF"/>
        </w:rPr>
        <w:t xml:space="preserve"> by </w:t>
      </w:r>
      <w:r>
        <w:rPr>
          <w:rFonts w:ascii="Calibri" w:hAnsi="Calibri" w:cs="Calibri"/>
          <w:color w:val="404040" w:themeColor="text1" w:themeTint="BF"/>
        </w:rPr>
        <w:t>evropský trh s bateriemi mohl po</w:t>
      </w:r>
      <w:r w:rsidRPr="001B673E">
        <w:rPr>
          <w:rFonts w:ascii="Calibri" w:hAnsi="Calibri" w:cs="Calibri"/>
          <w:color w:val="404040" w:themeColor="text1" w:themeTint="BF"/>
        </w:rPr>
        <w:t xml:space="preserve"> ro</w:t>
      </w:r>
      <w:r>
        <w:rPr>
          <w:rFonts w:ascii="Calibri" w:hAnsi="Calibri" w:cs="Calibri"/>
          <w:color w:val="404040" w:themeColor="text1" w:themeTint="BF"/>
        </w:rPr>
        <w:t>ce</w:t>
      </w:r>
      <w:r w:rsidRPr="001B673E">
        <w:rPr>
          <w:rFonts w:ascii="Calibri" w:hAnsi="Calibri" w:cs="Calibri"/>
          <w:color w:val="404040" w:themeColor="text1" w:themeTint="BF"/>
        </w:rPr>
        <w:t xml:space="preserve"> 2025 </w:t>
      </w:r>
      <w:r>
        <w:rPr>
          <w:rFonts w:ascii="Calibri" w:hAnsi="Calibri" w:cs="Calibri"/>
          <w:color w:val="404040" w:themeColor="text1" w:themeTint="BF"/>
        </w:rPr>
        <w:t xml:space="preserve">dosahovat až </w:t>
      </w:r>
      <w:r w:rsidRPr="001B673E">
        <w:rPr>
          <w:rFonts w:ascii="Calibri" w:hAnsi="Calibri" w:cs="Calibri"/>
          <w:color w:val="404040" w:themeColor="text1" w:themeTint="BF"/>
        </w:rPr>
        <w:t>250 m</w:t>
      </w:r>
      <w:r>
        <w:rPr>
          <w:rFonts w:ascii="Calibri" w:hAnsi="Calibri" w:cs="Calibri"/>
          <w:color w:val="404040" w:themeColor="text1" w:themeTint="BF"/>
        </w:rPr>
        <w:t>ld.</w:t>
      </w:r>
      <w:r w:rsidRPr="001B673E">
        <w:rPr>
          <w:rFonts w:ascii="Calibri" w:hAnsi="Calibri" w:cs="Calibri"/>
          <w:color w:val="404040" w:themeColor="text1" w:themeTint="BF"/>
        </w:rPr>
        <w:t xml:space="preserve"> eur ročně, </w:t>
      </w:r>
      <w:r>
        <w:rPr>
          <w:rFonts w:ascii="Calibri" w:hAnsi="Calibri" w:cs="Calibri"/>
          <w:color w:val="404040" w:themeColor="text1" w:themeTint="BF"/>
        </w:rPr>
        <w:t xml:space="preserve">s 10 </w:t>
      </w:r>
      <w:r w:rsidRPr="001B673E">
        <w:rPr>
          <w:rFonts w:ascii="Calibri" w:hAnsi="Calibri" w:cs="Calibri"/>
          <w:color w:val="404040" w:themeColor="text1" w:themeTint="BF"/>
        </w:rPr>
        <w:t>až 20 giga</w:t>
      </w:r>
      <w:r>
        <w:rPr>
          <w:rFonts w:ascii="Calibri" w:hAnsi="Calibri" w:cs="Calibri"/>
          <w:color w:val="404040" w:themeColor="text1" w:themeTint="BF"/>
        </w:rPr>
        <w:t>továrnami</w:t>
      </w:r>
      <w:r w:rsidRPr="001B673E">
        <w:rPr>
          <w:rFonts w:ascii="Calibri" w:hAnsi="Calibri" w:cs="Calibri"/>
          <w:color w:val="404040" w:themeColor="text1" w:themeTint="BF"/>
        </w:rPr>
        <w:t xml:space="preserve"> (zařízení pro </w:t>
      </w:r>
      <w:r>
        <w:rPr>
          <w:rFonts w:ascii="Calibri" w:hAnsi="Calibri" w:cs="Calibri"/>
          <w:color w:val="404040" w:themeColor="text1" w:themeTint="BF"/>
        </w:rPr>
        <w:t>masovou</w:t>
      </w:r>
      <w:r w:rsidRPr="001B673E">
        <w:rPr>
          <w:rFonts w:ascii="Calibri" w:hAnsi="Calibri" w:cs="Calibri"/>
          <w:color w:val="404040" w:themeColor="text1" w:themeTint="BF"/>
        </w:rPr>
        <w:t xml:space="preserve"> výrob</w:t>
      </w:r>
      <w:r>
        <w:rPr>
          <w:rFonts w:ascii="Calibri" w:hAnsi="Calibri" w:cs="Calibri"/>
          <w:color w:val="404040" w:themeColor="text1" w:themeTint="BF"/>
        </w:rPr>
        <w:t>u</w:t>
      </w:r>
      <w:r w:rsidRPr="001B673E">
        <w:rPr>
          <w:rFonts w:ascii="Calibri" w:hAnsi="Calibri" w:cs="Calibri"/>
          <w:color w:val="404040" w:themeColor="text1" w:themeTint="BF"/>
        </w:rPr>
        <w:t xml:space="preserve"> bateriových </w:t>
      </w:r>
      <w:r>
        <w:rPr>
          <w:rFonts w:ascii="Calibri" w:hAnsi="Calibri" w:cs="Calibri"/>
          <w:color w:val="404040" w:themeColor="text1" w:themeTint="BF"/>
        </w:rPr>
        <w:t>článků</w:t>
      </w:r>
      <w:r w:rsidRPr="001B673E">
        <w:rPr>
          <w:rFonts w:ascii="Calibri" w:hAnsi="Calibri" w:cs="Calibri"/>
          <w:color w:val="404040" w:themeColor="text1" w:themeTint="BF"/>
        </w:rPr>
        <w:t>)</w:t>
      </w:r>
      <w:r>
        <w:rPr>
          <w:rFonts w:ascii="Calibri" w:hAnsi="Calibri" w:cs="Calibri"/>
          <w:color w:val="404040" w:themeColor="text1" w:themeTint="BF"/>
        </w:rPr>
        <w:t xml:space="preserve"> sloužícími k</w:t>
      </w:r>
      <w:r w:rsidRPr="001B673E">
        <w:rPr>
          <w:rFonts w:ascii="Calibri" w:hAnsi="Calibri" w:cs="Calibri"/>
          <w:color w:val="404040" w:themeColor="text1" w:themeTint="BF"/>
        </w:rPr>
        <w:t xml:space="preserve"> pokry</w:t>
      </w:r>
      <w:r>
        <w:rPr>
          <w:rFonts w:ascii="Calibri" w:hAnsi="Calibri" w:cs="Calibri"/>
          <w:color w:val="404040" w:themeColor="text1" w:themeTint="BF"/>
        </w:rPr>
        <w:t>tí</w:t>
      </w:r>
      <w:r w:rsidRPr="001B673E">
        <w:rPr>
          <w:rFonts w:ascii="Calibri" w:hAnsi="Calibri" w:cs="Calibri"/>
          <w:color w:val="404040" w:themeColor="text1" w:themeTint="BF"/>
        </w:rPr>
        <w:t xml:space="preserve"> poptávk</w:t>
      </w:r>
      <w:r>
        <w:rPr>
          <w:rFonts w:ascii="Calibri" w:hAnsi="Calibri" w:cs="Calibri"/>
          <w:color w:val="404040" w:themeColor="text1" w:themeTint="BF"/>
        </w:rPr>
        <w:t>y</w:t>
      </w:r>
      <w:r w:rsidRPr="001B673E">
        <w:rPr>
          <w:rFonts w:ascii="Calibri" w:hAnsi="Calibri" w:cs="Calibri"/>
          <w:color w:val="404040" w:themeColor="text1" w:themeTint="BF"/>
        </w:rPr>
        <w:t xml:space="preserve"> EU</w:t>
      </w:r>
      <w:r>
        <w:rPr>
          <w:rFonts w:ascii="Calibri" w:hAnsi="Calibri" w:cs="Calibri"/>
          <w:color w:val="404040" w:themeColor="text1" w:themeTint="BF"/>
        </w:rPr>
        <w:t>.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A</w:t>
      </w:r>
      <w:r w:rsidRPr="001721FB">
        <w:rPr>
          <w:rFonts w:ascii="Calibri" w:hAnsi="Calibri" w:cs="Calibri"/>
          <w:color w:val="404040" w:themeColor="text1" w:themeTint="BF"/>
        </w:rPr>
        <w:t>kční</w:t>
      </w:r>
      <w:r>
        <w:rPr>
          <w:rFonts w:ascii="Calibri" w:hAnsi="Calibri" w:cs="Calibri"/>
          <w:color w:val="404040" w:themeColor="text1" w:themeTint="BF"/>
        </w:rPr>
        <w:t>m</w:t>
      </w:r>
      <w:r w:rsidRPr="001721FB">
        <w:rPr>
          <w:rFonts w:ascii="Calibri" w:hAnsi="Calibri" w:cs="Calibri"/>
          <w:color w:val="404040" w:themeColor="text1" w:themeTint="BF"/>
        </w:rPr>
        <w:t xml:space="preserve"> plán</w:t>
      </w:r>
      <w:r>
        <w:rPr>
          <w:rFonts w:ascii="Calibri" w:hAnsi="Calibri" w:cs="Calibri"/>
          <w:color w:val="404040" w:themeColor="text1" w:themeTint="BF"/>
        </w:rPr>
        <w:t>em</w:t>
      </w:r>
      <w:r w:rsidRPr="001721FB">
        <w:rPr>
          <w:rFonts w:ascii="Calibri" w:hAnsi="Calibri" w:cs="Calibri"/>
          <w:color w:val="404040" w:themeColor="text1" w:themeTint="BF"/>
        </w:rPr>
        <w:t xml:space="preserve"> Komise propaguje přeshraniční a integrovaný evropský přístup, ale také </w:t>
      </w:r>
      <w:r>
        <w:rPr>
          <w:rFonts w:ascii="Calibri" w:hAnsi="Calibri" w:cs="Calibri"/>
          <w:color w:val="404040" w:themeColor="text1" w:themeTint="BF"/>
        </w:rPr>
        <w:t>k</w:t>
      </w:r>
      <w:r w:rsidRPr="001721FB">
        <w:rPr>
          <w:rFonts w:ascii="Calibri" w:hAnsi="Calibri" w:cs="Calibri"/>
          <w:color w:val="404040" w:themeColor="text1" w:themeTint="BF"/>
        </w:rPr>
        <w:t>l</w:t>
      </w:r>
      <w:r>
        <w:rPr>
          <w:rFonts w:ascii="Calibri" w:hAnsi="Calibri" w:cs="Calibri"/>
          <w:color w:val="404040" w:themeColor="text1" w:themeTint="BF"/>
        </w:rPr>
        <w:t>ade</w:t>
      </w:r>
      <w:r w:rsidRPr="001721FB">
        <w:rPr>
          <w:rFonts w:ascii="Calibri" w:hAnsi="Calibri" w:cs="Calibri"/>
          <w:color w:val="404040" w:themeColor="text1" w:themeTint="BF"/>
        </w:rPr>
        <w:t xml:space="preserve"> velký důraz na udržitelnou výrobu baterií v celém hodnotovém řetězci, počínaje těžbou a</w:t>
      </w:r>
      <w:r>
        <w:rPr>
          <w:rFonts w:ascii="Calibri" w:hAnsi="Calibri" w:cs="Calibri"/>
          <w:color w:val="404040" w:themeColor="text1" w:themeTint="BF"/>
        </w:rPr>
        <w:t> </w:t>
      </w:r>
      <w:r w:rsidRPr="001721FB">
        <w:rPr>
          <w:rFonts w:ascii="Calibri" w:hAnsi="Calibri" w:cs="Calibri"/>
          <w:color w:val="404040" w:themeColor="text1" w:themeTint="BF"/>
        </w:rPr>
        <w:t>zpracováním (primárních a</w:t>
      </w:r>
      <w:r>
        <w:rPr>
          <w:rFonts w:ascii="Calibri" w:hAnsi="Calibri" w:cs="Calibri"/>
          <w:color w:val="404040" w:themeColor="text1" w:themeTint="BF"/>
        </w:rPr>
        <w:t> </w:t>
      </w:r>
      <w:r w:rsidRPr="001721FB">
        <w:rPr>
          <w:rFonts w:ascii="Calibri" w:hAnsi="Calibri" w:cs="Calibri"/>
          <w:color w:val="404040" w:themeColor="text1" w:themeTint="BF"/>
        </w:rPr>
        <w:t>sekundárních) surovin, konstrukční a výrobní fázi bateriových článků a</w:t>
      </w:r>
      <w:r>
        <w:rPr>
          <w:rFonts w:ascii="Calibri" w:hAnsi="Calibri" w:cs="Calibri"/>
          <w:color w:val="404040" w:themeColor="text1" w:themeTint="BF"/>
        </w:rPr>
        <w:t> </w:t>
      </w:r>
      <w:r w:rsidRPr="001721FB">
        <w:rPr>
          <w:rFonts w:ascii="Calibri" w:hAnsi="Calibri" w:cs="Calibri"/>
          <w:color w:val="404040" w:themeColor="text1" w:themeTint="BF"/>
        </w:rPr>
        <w:t>akumulátorů a jejich použití, d</w:t>
      </w:r>
      <w:r>
        <w:rPr>
          <w:rFonts w:ascii="Calibri" w:hAnsi="Calibri" w:cs="Calibri"/>
          <w:color w:val="404040" w:themeColor="text1" w:themeTint="BF"/>
        </w:rPr>
        <w:t>alší využití</w:t>
      </w:r>
      <w:r w:rsidRPr="001721FB">
        <w:rPr>
          <w:rFonts w:ascii="Calibri" w:hAnsi="Calibri" w:cs="Calibri"/>
          <w:color w:val="404040" w:themeColor="text1" w:themeTint="BF"/>
        </w:rPr>
        <w:t xml:space="preserve">, recyklaci a likvidaci v kontextu </w:t>
      </w:r>
      <w:r>
        <w:rPr>
          <w:rFonts w:ascii="Calibri" w:hAnsi="Calibri" w:cs="Calibri"/>
          <w:color w:val="404040" w:themeColor="text1" w:themeTint="BF"/>
        </w:rPr>
        <w:t>oběhového</w:t>
      </w:r>
      <w:r w:rsidRPr="001721FB">
        <w:rPr>
          <w:rFonts w:ascii="Calibri" w:hAnsi="Calibri" w:cs="Calibri"/>
          <w:color w:val="404040" w:themeColor="text1" w:themeTint="BF"/>
        </w:rPr>
        <w:t xml:space="preserve"> hospodářství. Takový přístup bude podporovat výrobu a</w:t>
      </w:r>
      <w:r>
        <w:rPr>
          <w:rFonts w:ascii="Calibri" w:hAnsi="Calibri" w:cs="Calibri"/>
          <w:color w:val="404040" w:themeColor="text1" w:themeTint="BF"/>
        </w:rPr>
        <w:t> </w:t>
      </w:r>
      <w:r w:rsidRPr="001721FB">
        <w:rPr>
          <w:rFonts w:ascii="Calibri" w:hAnsi="Calibri" w:cs="Calibri"/>
          <w:color w:val="404040" w:themeColor="text1" w:themeTint="BF"/>
        </w:rPr>
        <w:t>používání vysoce výkonných baterií a stanoví kritéri</w:t>
      </w:r>
      <w:r>
        <w:rPr>
          <w:rFonts w:ascii="Calibri" w:hAnsi="Calibri" w:cs="Calibri"/>
          <w:color w:val="404040" w:themeColor="text1" w:themeTint="BF"/>
        </w:rPr>
        <w:t>a</w:t>
      </w:r>
      <w:r w:rsidRPr="001721FB">
        <w:rPr>
          <w:rFonts w:ascii="Calibri" w:hAnsi="Calibri" w:cs="Calibri"/>
          <w:color w:val="404040" w:themeColor="text1" w:themeTint="BF"/>
        </w:rPr>
        <w:t xml:space="preserve"> udržitelnosti v</w:t>
      </w:r>
      <w:r>
        <w:rPr>
          <w:rFonts w:ascii="Calibri" w:hAnsi="Calibri" w:cs="Calibri"/>
          <w:color w:val="404040" w:themeColor="text1" w:themeTint="BF"/>
        </w:rPr>
        <w:t> </w:t>
      </w:r>
      <w:r w:rsidRPr="001721FB">
        <w:rPr>
          <w:rFonts w:ascii="Calibri" w:hAnsi="Calibri" w:cs="Calibri"/>
          <w:color w:val="404040" w:themeColor="text1" w:themeTint="BF"/>
        </w:rPr>
        <w:t>celém hodnotovém řetězci EU.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 w:rsidRPr="001721FB">
        <w:rPr>
          <w:rFonts w:ascii="Calibri" w:hAnsi="Calibri" w:cs="Calibri"/>
          <w:color w:val="404040" w:themeColor="text1" w:themeTint="BF"/>
        </w:rPr>
        <w:t>Akční plán kombinuje cílená opatření na úrovni EU</w:t>
      </w:r>
      <w:r>
        <w:rPr>
          <w:rFonts w:ascii="Calibri" w:hAnsi="Calibri" w:cs="Calibri"/>
          <w:color w:val="404040" w:themeColor="text1" w:themeTint="BF"/>
        </w:rPr>
        <w:t xml:space="preserve"> zahrnující </w:t>
      </w:r>
      <w:r w:rsidRPr="000E007F">
        <w:rPr>
          <w:rFonts w:ascii="Calibri" w:hAnsi="Calibri" w:cs="Calibri"/>
          <w:b/>
          <w:color w:val="404040" w:themeColor="text1" w:themeTint="BF"/>
        </w:rPr>
        <w:t>suroviny, výzkum a inovace, financování/investice, standardizaci/regulace, obchod a rozvoj dovedností</w:t>
      </w:r>
      <w:r>
        <w:rPr>
          <w:rFonts w:ascii="Calibri" w:hAnsi="Calibri" w:cs="Calibri"/>
          <w:color w:val="404040" w:themeColor="text1" w:themeTint="BF"/>
        </w:rPr>
        <w:t xml:space="preserve"> tak</w:t>
      </w:r>
      <w:r w:rsidRPr="001721FB">
        <w:rPr>
          <w:rFonts w:ascii="Calibri" w:hAnsi="Calibri" w:cs="Calibri"/>
          <w:color w:val="404040" w:themeColor="text1" w:themeTint="BF"/>
        </w:rPr>
        <w:t xml:space="preserve">, aby se Evropa stala </w:t>
      </w:r>
      <w:r>
        <w:rPr>
          <w:rFonts w:ascii="Calibri" w:hAnsi="Calibri" w:cs="Calibri"/>
          <w:color w:val="404040" w:themeColor="text1" w:themeTint="BF"/>
        </w:rPr>
        <w:t>lídrem</w:t>
      </w:r>
      <w:r w:rsidRPr="001721FB">
        <w:rPr>
          <w:rFonts w:ascii="Calibri" w:hAnsi="Calibri" w:cs="Calibri"/>
          <w:color w:val="404040" w:themeColor="text1" w:themeTint="BF"/>
        </w:rPr>
        <w:t xml:space="preserve"> v oblasti udržitelné výroby a používání baterií v kontextu </w:t>
      </w:r>
      <w:r>
        <w:rPr>
          <w:rFonts w:ascii="Calibri" w:hAnsi="Calibri" w:cs="Calibri"/>
          <w:color w:val="404040" w:themeColor="text1" w:themeTint="BF"/>
        </w:rPr>
        <w:t>oběhového</w:t>
      </w:r>
      <w:r w:rsidRPr="001721FB">
        <w:rPr>
          <w:rFonts w:ascii="Calibri" w:hAnsi="Calibri" w:cs="Calibri"/>
          <w:color w:val="404040" w:themeColor="text1" w:themeTint="BF"/>
        </w:rPr>
        <w:t xml:space="preserve"> hospodářství.</w:t>
      </w:r>
    </w:p>
    <w:p w:rsidR="005942E7" w:rsidRPr="00F3583A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</w:p>
    <w:p w:rsidR="005942E7" w:rsidRPr="00F3583A" w:rsidRDefault="005942E7" w:rsidP="005942E7">
      <w:pPr>
        <w:spacing w:after="0"/>
        <w:jc w:val="both"/>
        <w:rPr>
          <w:b/>
          <w:i/>
          <w:color w:val="404040" w:themeColor="text1" w:themeTint="BF"/>
        </w:rPr>
      </w:pPr>
      <w:r w:rsidRPr="00F3583A">
        <w:rPr>
          <w:b/>
          <w:i/>
          <w:color w:val="404040" w:themeColor="text1" w:themeTint="BF"/>
        </w:rPr>
        <w:t>Dokončení legislativního rámce EU pro emise CO</w:t>
      </w:r>
      <w:r w:rsidRPr="00314793">
        <w:rPr>
          <w:b/>
          <w:i/>
          <w:color w:val="404040" w:themeColor="text1" w:themeTint="BF"/>
          <w:vertAlign w:val="subscript"/>
        </w:rPr>
        <w:t>2</w:t>
      </w:r>
      <w:r w:rsidRPr="00F3583A">
        <w:rPr>
          <w:b/>
          <w:i/>
          <w:color w:val="404040" w:themeColor="text1" w:themeTint="BF"/>
        </w:rPr>
        <w:t xml:space="preserve"> v silniční dopravě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Legislativní n</w:t>
      </w:r>
      <w:r w:rsidRPr="00314793">
        <w:rPr>
          <w:rFonts w:ascii="Calibri" w:hAnsi="Calibri" w:cs="Calibri"/>
          <w:color w:val="404040" w:themeColor="text1" w:themeTint="BF"/>
        </w:rPr>
        <w:t xml:space="preserve">ávrh </w:t>
      </w:r>
      <w:r>
        <w:rPr>
          <w:rFonts w:ascii="Calibri" w:hAnsi="Calibri" w:cs="Calibri"/>
          <w:color w:val="404040" w:themeColor="text1" w:themeTint="BF"/>
        </w:rPr>
        <w:t>norem C0</w:t>
      </w:r>
      <w:r w:rsidRPr="00314793">
        <w:rPr>
          <w:rFonts w:ascii="Calibri" w:hAnsi="Calibri" w:cs="Calibri"/>
          <w:color w:val="404040" w:themeColor="text1" w:themeTint="BF"/>
          <w:vertAlign w:val="subscript"/>
        </w:rPr>
        <w:t>2</w:t>
      </w:r>
      <w:r>
        <w:rPr>
          <w:rFonts w:ascii="Calibri" w:hAnsi="Calibri" w:cs="Calibri"/>
          <w:color w:val="404040" w:themeColor="text1" w:themeTint="BF"/>
        </w:rPr>
        <w:t xml:space="preserve"> pro těžká </w:t>
      </w:r>
      <w:r w:rsidR="00B51C66">
        <w:rPr>
          <w:rFonts w:ascii="Calibri" w:hAnsi="Calibri" w:cs="Calibri"/>
          <w:color w:val="404040" w:themeColor="text1" w:themeTint="BF"/>
        </w:rPr>
        <w:t xml:space="preserve">užitková </w:t>
      </w:r>
      <w:r>
        <w:rPr>
          <w:rFonts w:ascii="Calibri" w:hAnsi="Calibri" w:cs="Calibri"/>
          <w:color w:val="404040" w:themeColor="text1" w:themeTint="BF"/>
        </w:rPr>
        <w:t xml:space="preserve">vozidla HDV </w:t>
      </w:r>
      <w:r w:rsidRPr="00314793">
        <w:rPr>
          <w:rFonts w:ascii="Calibri" w:hAnsi="Calibri" w:cs="Calibri"/>
          <w:color w:val="404040" w:themeColor="text1" w:themeTint="BF"/>
        </w:rPr>
        <w:t>je nezbytný k</w:t>
      </w:r>
      <w:r>
        <w:rPr>
          <w:rFonts w:ascii="Calibri" w:hAnsi="Calibri" w:cs="Calibri"/>
          <w:color w:val="404040" w:themeColor="text1" w:themeTint="BF"/>
        </w:rPr>
        <w:t>e</w:t>
      </w:r>
      <w:r w:rsidRPr="00314793">
        <w:rPr>
          <w:rFonts w:ascii="Calibri" w:hAnsi="Calibri" w:cs="Calibri"/>
          <w:color w:val="404040" w:themeColor="text1" w:themeTint="BF"/>
        </w:rPr>
        <w:t xml:space="preserve"> spln</w:t>
      </w:r>
      <w:r>
        <w:rPr>
          <w:rFonts w:ascii="Calibri" w:hAnsi="Calibri" w:cs="Calibri"/>
          <w:color w:val="404040" w:themeColor="text1" w:themeTint="BF"/>
        </w:rPr>
        <w:t>ění</w:t>
      </w:r>
      <w:r w:rsidRPr="00314793">
        <w:rPr>
          <w:rFonts w:ascii="Calibri" w:hAnsi="Calibri" w:cs="Calibri"/>
          <w:color w:val="404040" w:themeColor="text1" w:themeTint="BF"/>
        </w:rPr>
        <w:t xml:space="preserve"> závazk</w:t>
      </w:r>
      <w:r>
        <w:rPr>
          <w:rFonts w:ascii="Calibri" w:hAnsi="Calibri" w:cs="Calibri"/>
          <w:color w:val="404040" w:themeColor="text1" w:themeTint="BF"/>
        </w:rPr>
        <w:t>ů</w:t>
      </w:r>
      <w:r w:rsidRPr="00314793">
        <w:rPr>
          <w:rFonts w:ascii="Calibri" w:hAnsi="Calibri" w:cs="Calibri"/>
          <w:color w:val="404040" w:themeColor="text1" w:themeTint="BF"/>
        </w:rPr>
        <w:t xml:space="preserve"> EU vyplývající</w:t>
      </w:r>
      <w:r>
        <w:rPr>
          <w:rFonts w:ascii="Calibri" w:hAnsi="Calibri" w:cs="Calibri"/>
          <w:color w:val="404040" w:themeColor="text1" w:themeTint="BF"/>
        </w:rPr>
        <w:t>ch</w:t>
      </w:r>
      <w:r w:rsidRPr="00314793">
        <w:rPr>
          <w:rFonts w:ascii="Calibri" w:hAnsi="Calibri" w:cs="Calibri"/>
          <w:color w:val="404040" w:themeColor="text1" w:themeTint="BF"/>
        </w:rPr>
        <w:t xml:space="preserve"> z</w:t>
      </w:r>
      <w:r>
        <w:rPr>
          <w:rFonts w:ascii="Calibri" w:hAnsi="Calibri" w:cs="Calibri"/>
          <w:color w:val="404040" w:themeColor="text1" w:themeTint="BF"/>
        </w:rPr>
        <w:t> </w:t>
      </w:r>
      <w:r w:rsidRPr="00314793">
        <w:rPr>
          <w:rFonts w:ascii="Calibri" w:hAnsi="Calibri" w:cs="Calibri"/>
          <w:color w:val="404040" w:themeColor="text1" w:themeTint="BF"/>
        </w:rPr>
        <w:t xml:space="preserve">Pařížské dohody a </w:t>
      </w:r>
      <w:r>
        <w:rPr>
          <w:rFonts w:ascii="Calibri" w:hAnsi="Calibri" w:cs="Calibri"/>
          <w:color w:val="404040" w:themeColor="text1" w:themeTint="BF"/>
        </w:rPr>
        <w:t>implementaci</w:t>
      </w:r>
      <w:r w:rsidRPr="00314793">
        <w:rPr>
          <w:rFonts w:ascii="Calibri" w:hAnsi="Calibri" w:cs="Calibri"/>
          <w:color w:val="404040" w:themeColor="text1" w:themeTint="BF"/>
        </w:rPr>
        <w:t xml:space="preserve"> rámc</w:t>
      </w:r>
      <w:r>
        <w:rPr>
          <w:rFonts w:ascii="Calibri" w:hAnsi="Calibri" w:cs="Calibri"/>
          <w:color w:val="404040" w:themeColor="text1" w:themeTint="BF"/>
        </w:rPr>
        <w:t>e</w:t>
      </w:r>
      <w:r w:rsidRPr="00314793">
        <w:rPr>
          <w:rFonts w:ascii="Calibri" w:hAnsi="Calibri" w:cs="Calibri"/>
          <w:color w:val="404040" w:themeColor="text1" w:themeTint="BF"/>
        </w:rPr>
        <w:t xml:space="preserve"> pro klima a energetiku 2030</w:t>
      </w:r>
      <w:r>
        <w:rPr>
          <w:rFonts w:ascii="Calibri" w:hAnsi="Calibri" w:cs="Calibri"/>
          <w:color w:val="404040" w:themeColor="text1" w:themeTint="BF"/>
        </w:rPr>
        <w:t>.</w:t>
      </w:r>
      <w:r w:rsidRPr="00314793">
        <w:rPr>
          <w:rFonts w:ascii="Calibri" w:hAnsi="Calibri" w:cs="Calibri"/>
          <w:color w:val="404040" w:themeColor="text1" w:themeTint="BF"/>
        </w:rPr>
        <w:t xml:space="preserve"> </w:t>
      </w:r>
      <w:r>
        <w:rPr>
          <w:rFonts w:ascii="Calibri" w:hAnsi="Calibri" w:cs="Calibri"/>
          <w:color w:val="404040" w:themeColor="text1" w:themeTint="BF"/>
        </w:rPr>
        <w:t>E</w:t>
      </w:r>
      <w:r w:rsidRPr="00314793">
        <w:rPr>
          <w:rFonts w:ascii="Calibri" w:hAnsi="Calibri" w:cs="Calibri"/>
          <w:color w:val="404040" w:themeColor="text1" w:themeTint="BF"/>
        </w:rPr>
        <w:t>mise CO</w:t>
      </w:r>
      <w:r w:rsidRPr="00314793">
        <w:rPr>
          <w:rFonts w:ascii="Calibri" w:hAnsi="Calibri" w:cs="Calibri"/>
          <w:color w:val="404040" w:themeColor="text1" w:themeTint="BF"/>
          <w:vertAlign w:val="subscript"/>
        </w:rPr>
        <w:t>2</w:t>
      </w:r>
      <w:r w:rsidRPr="00314793">
        <w:rPr>
          <w:rFonts w:ascii="Calibri" w:hAnsi="Calibri" w:cs="Calibri"/>
          <w:color w:val="404040" w:themeColor="text1" w:themeTint="BF"/>
        </w:rPr>
        <w:t xml:space="preserve"> z těžkých </w:t>
      </w:r>
      <w:r w:rsidR="00B51C66">
        <w:rPr>
          <w:rFonts w:ascii="Calibri" w:hAnsi="Calibri" w:cs="Calibri"/>
          <w:color w:val="404040" w:themeColor="text1" w:themeTint="BF"/>
        </w:rPr>
        <w:t xml:space="preserve">užitkových </w:t>
      </w:r>
      <w:r w:rsidRPr="00314793">
        <w:rPr>
          <w:rFonts w:ascii="Calibri" w:hAnsi="Calibri" w:cs="Calibri"/>
          <w:color w:val="404040" w:themeColor="text1" w:themeTint="BF"/>
        </w:rPr>
        <w:t xml:space="preserve">vozidel </w:t>
      </w:r>
      <w:r>
        <w:rPr>
          <w:rFonts w:ascii="Calibri" w:hAnsi="Calibri" w:cs="Calibri"/>
          <w:color w:val="404040" w:themeColor="text1" w:themeTint="BF"/>
        </w:rPr>
        <w:lastRenderedPageBreak/>
        <w:t xml:space="preserve">tvoří </w:t>
      </w:r>
      <w:r w:rsidRPr="00314793">
        <w:rPr>
          <w:rFonts w:ascii="Calibri" w:hAnsi="Calibri" w:cs="Calibri"/>
          <w:color w:val="404040" w:themeColor="text1" w:themeTint="BF"/>
        </w:rPr>
        <w:t xml:space="preserve">zhruba čtvrtinu emisí silniční dopravy a do roku 2030 se tato hodnota </w:t>
      </w:r>
      <w:r>
        <w:rPr>
          <w:rFonts w:ascii="Calibri" w:hAnsi="Calibri" w:cs="Calibri"/>
          <w:color w:val="404040" w:themeColor="text1" w:themeTint="BF"/>
        </w:rPr>
        <w:t>ještě</w:t>
      </w:r>
      <w:r w:rsidRPr="00314793">
        <w:rPr>
          <w:rFonts w:ascii="Calibri" w:hAnsi="Calibri" w:cs="Calibri"/>
          <w:color w:val="404040" w:themeColor="text1" w:themeTint="BF"/>
        </w:rPr>
        <w:t xml:space="preserve"> zvýší. Úspěšné dosažení cílů EU pro snižování emisí skleníkových plynů nebude možné bez příspěvku </w:t>
      </w:r>
      <w:r>
        <w:rPr>
          <w:rFonts w:ascii="Calibri" w:hAnsi="Calibri" w:cs="Calibri"/>
          <w:color w:val="404040" w:themeColor="text1" w:themeTint="BF"/>
        </w:rPr>
        <w:t xml:space="preserve">tohoto </w:t>
      </w:r>
      <w:r w:rsidRPr="00314793">
        <w:rPr>
          <w:rFonts w:ascii="Calibri" w:hAnsi="Calibri" w:cs="Calibri"/>
          <w:color w:val="404040" w:themeColor="text1" w:themeTint="BF"/>
        </w:rPr>
        <w:t>sektor</w:t>
      </w:r>
      <w:r>
        <w:rPr>
          <w:rFonts w:ascii="Calibri" w:hAnsi="Calibri" w:cs="Calibri"/>
          <w:color w:val="404040" w:themeColor="text1" w:themeTint="BF"/>
        </w:rPr>
        <w:t>u</w:t>
      </w:r>
      <w:r w:rsidRPr="00314793">
        <w:rPr>
          <w:rFonts w:ascii="Calibri" w:hAnsi="Calibri" w:cs="Calibri"/>
          <w:color w:val="404040" w:themeColor="text1" w:themeTint="BF"/>
        </w:rPr>
        <w:t>.</w:t>
      </w:r>
    </w:p>
    <w:p w:rsidR="005942E7" w:rsidRDefault="005942E7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</w:p>
    <w:p w:rsidR="005942E7" w:rsidRDefault="00B51C66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r>
        <w:rPr>
          <w:rFonts w:ascii="Calibri" w:hAnsi="Calibri" w:cs="Calibri"/>
          <w:color w:val="404040" w:themeColor="text1" w:themeTint="BF"/>
        </w:rPr>
        <w:t>EK</w:t>
      </w:r>
      <w:r w:rsidR="005942E7" w:rsidRPr="00DA1085">
        <w:rPr>
          <w:rFonts w:ascii="Calibri" w:hAnsi="Calibri" w:cs="Calibri"/>
          <w:color w:val="404040" w:themeColor="text1" w:themeTint="BF"/>
        </w:rPr>
        <w:t xml:space="preserve"> považuje za nejvhodnější </w:t>
      </w:r>
      <w:r w:rsidR="005942E7" w:rsidRPr="000E007F">
        <w:rPr>
          <w:rFonts w:ascii="Calibri" w:hAnsi="Calibri" w:cs="Calibri"/>
          <w:b/>
          <w:color w:val="404040" w:themeColor="text1" w:themeTint="BF"/>
        </w:rPr>
        <w:t>regulovat emise CO</w:t>
      </w:r>
      <w:r w:rsidR="005942E7" w:rsidRPr="000E007F">
        <w:rPr>
          <w:rFonts w:ascii="Calibri" w:hAnsi="Calibri" w:cs="Calibri"/>
          <w:b/>
          <w:color w:val="404040" w:themeColor="text1" w:themeTint="BF"/>
          <w:vertAlign w:val="subscript"/>
        </w:rPr>
        <w:t>2</w:t>
      </w:r>
      <w:r w:rsidR="005942E7" w:rsidRPr="000E007F">
        <w:rPr>
          <w:rFonts w:ascii="Calibri" w:hAnsi="Calibri" w:cs="Calibri"/>
          <w:b/>
          <w:color w:val="404040" w:themeColor="text1" w:themeTint="BF"/>
        </w:rPr>
        <w:t xml:space="preserve"> z těžkých </w:t>
      </w:r>
      <w:r>
        <w:rPr>
          <w:rFonts w:ascii="Calibri" w:hAnsi="Calibri" w:cs="Calibri"/>
          <w:b/>
          <w:color w:val="404040" w:themeColor="text1" w:themeTint="BF"/>
        </w:rPr>
        <w:t xml:space="preserve">užitkových </w:t>
      </w:r>
      <w:r w:rsidR="005942E7" w:rsidRPr="000E007F">
        <w:rPr>
          <w:rFonts w:ascii="Calibri" w:hAnsi="Calibri" w:cs="Calibri"/>
          <w:b/>
          <w:color w:val="404040" w:themeColor="text1" w:themeTint="BF"/>
        </w:rPr>
        <w:t xml:space="preserve">vozidel </w:t>
      </w:r>
      <w:r w:rsidR="005942E7">
        <w:rPr>
          <w:rFonts w:ascii="Calibri" w:hAnsi="Calibri" w:cs="Calibri"/>
          <w:b/>
          <w:color w:val="404040" w:themeColor="text1" w:themeTint="BF"/>
        </w:rPr>
        <w:t xml:space="preserve">HDV </w:t>
      </w:r>
      <w:r w:rsidR="005942E7" w:rsidRPr="000E007F">
        <w:rPr>
          <w:rFonts w:ascii="Calibri" w:hAnsi="Calibri" w:cs="Calibri"/>
          <w:b/>
          <w:color w:val="404040" w:themeColor="text1" w:themeTint="BF"/>
        </w:rPr>
        <w:t>postupně s možností přezkumu</w:t>
      </w:r>
      <w:r w:rsidR="005942E7" w:rsidRPr="00DA1085">
        <w:rPr>
          <w:rFonts w:ascii="Calibri" w:hAnsi="Calibri" w:cs="Calibri"/>
          <w:color w:val="404040" w:themeColor="text1" w:themeTint="BF"/>
        </w:rPr>
        <w:t xml:space="preserve">. </w:t>
      </w:r>
      <w:r w:rsidR="003633CD">
        <w:rPr>
          <w:rFonts w:ascii="Calibri" w:hAnsi="Calibri" w:cs="Calibri"/>
          <w:color w:val="404040" w:themeColor="text1" w:themeTint="BF"/>
        </w:rPr>
        <w:t>N</w:t>
      </w:r>
      <w:r w:rsidR="005942E7">
        <w:rPr>
          <w:rFonts w:ascii="Calibri" w:hAnsi="Calibri" w:cs="Calibri"/>
          <w:color w:val="404040" w:themeColor="text1" w:themeTint="BF"/>
        </w:rPr>
        <w:t>ákladově nejefektivnější</w:t>
      </w:r>
      <w:r w:rsidR="005942E7" w:rsidRPr="00DA1085">
        <w:rPr>
          <w:rFonts w:ascii="Calibri" w:hAnsi="Calibri" w:cs="Calibri"/>
          <w:color w:val="404040" w:themeColor="text1" w:themeTint="BF"/>
        </w:rPr>
        <w:t xml:space="preserve"> a dostupné technologie rychle pronik</w:t>
      </w:r>
      <w:r w:rsidR="005942E7">
        <w:rPr>
          <w:rFonts w:ascii="Calibri" w:hAnsi="Calibri" w:cs="Calibri"/>
          <w:color w:val="404040" w:themeColor="text1" w:themeTint="BF"/>
        </w:rPr>
        <w:t>nou</w:t>
      </w:r>
      <w:r w:rsidR="005942E7" w:rsidRPr="00DA1085">
        <w:rPr>
          <w:rFonts w:ascii="Calibri" w:hAnsi="Calibri" w:cs="Calibri"/>
          <w:color w:val="404040" w:themeColor="text1" w:themeTint="BF"/>
        </w:rPr>
        <w:t xml:space="preserve"> na trh </w:t>
      </w:r>
      <w:r w:rsidR="005942E7" w:rsidRPr="0066095F">
        <w:rPr>
          <w:rFonts w:ascii="Calibri" w:hAnsi="Calibri" w:cs="Calibri"/>
          <w:b/>
          <w:color w:val="404040" w:themeColor="text1" w:themeTint="BF"/>
        </w:rPr>
        <w:t xml:space="preserve">největších </w:t>
      </w:r>
      <w:r w:rsidR="003633CD">
        <w:rPr>
          <w:rFonts w:ascii="Calibri" w:hAnsi="Calibri" w:cs="Calibri"/>
          <w:b/>
          <w:color w:val="404040" w:themeColor="text1" w:themeTint="BF"/>
        </w:rPr>
        <w:t>HDV</w:t>
      </w:r>
      <w:r w:rsidR="005942E7" w:rsidRPr="00DA1085">
        <w:rPr>
          <w:rFonts w:ascii="Calibri" w:hAnsi="Calibri" w:cs="Calibri"/>
          <w:color w:val="404040" w:themeColor="text1" w:themeTint="BF"/>
        </w:rPr>
        <w:t xml:space="preserve">. Čtyři </w:t>
      </w:r>
      <w:r w:rsidR="005D7438">
        <w:rPr>
          <w:rFonts w:ascii="Calibri" w:hAnsi="Calibri" w:cs="Calibri"/>
          <w:color w:val="404040" w:themeColor="text1" w:themeTint="BF"/>
        </w:rPr>
        <w:t xml:space="preserve">jejich </w:t>
      </w:r>
      <w:r w:rsidR="005942E7" w:rsidRPr="00DA1085">
        <w:rPr>
          <w:rFonts w:ascii="Calibri" w:hAnsi="Calibri" w:cs="Calibri"/>
          <w:color w:val="404040" w:themeColor="text1" w:themeTint="BF"/>
        </w:rPr>
        <w:t>hlavní skupiny jsou prvními vozidl</w:t>
      </w:r>
      <w:r w:rsidR="005942E7">
        <w:rPr>
          <w:rFonts w:ascii="Calibri" w:hAnsi="Calibri" w:cs="Calibri"/>
          <w:color w:val="404040" w:themeColor="text1" w:themeTint="BF"/>
        </w:rPr>
        <w:t>y</w:t>
      </w:r>
      <w:r w:rsidR="005942E7" w:rsidRPr="00DA1085">
        <w:rPr>
          <w:rFonts w:ascii="Calibri" w:hAnsi="Calibri" w:cs="Calibri"/>
          <w:color w:val="404040" w:themeColor="text1" w:themeTint="BF"/>
        </w:rPr>
        <w:t>, pro která bud</w:t>
      </w:r>
      <w:r w:rsidR="003633CD">
        <w:rPr>
          <w:rFonts w:ascii="Calibri" w:hAnsi="Calibri" w:cs="Calibri"/>
          <w:color w:val="404040" w:themeColor="text1" w:themeTint="BF"/>
        </w:rPr>
        <w:t>ou</w:t>
      </w:r>
      <w:r w:rsidR="005942E7">
        <w:rPr>
          <w:rFonts w:ascii="Calibri" w:hAnsi="Calibri" w:cs="Calibri"/>
          <w:color w:val="404040" w:themeColor="text1" w:themeTint="BF"/>
        </w:rPr>
        <w:t xml:space="preserve"> </w:t>
      </w:r>
      <w:r w:rsidR="005942E7" w:rsidRPr="00DA1085">
        <w:rPr>
          <w:rFonts w:ascii="Calibri" w:hAnsi="Calibri" w:cs="Calibri"/>
          <w:color w:val="404040" w:themeColor="text1" w:themeTint="BF"/>
        </w:rPr>
        <w:t>od roku 2019 spolehlivé a ověřené údaje o emisích. Představují zhruba 65 až 70</w:t>
      </w:r>
      <w:r w:rsidR="005942E7">
        <w:rPr>
          <w:rFonts w:ascii="Calibri" w:hAnsi="Calibri" w:cs="Calibri"/>
          <w:color w:val="404040" w:themeColor="text1" w:themeTint="BF"/>
        </w:rPr>
        <w:t xml:space="preserve"> </w:t>
      </w:r>
      <w:r w:rsidR="005942E7" w:rsidRPr="00DA1085">
        <w:rPr>
          <w:rFonts w:ascii="Calibri" w:hAnsi="Calibri" w:cs="Calibri"/>
          <w:color w:val="404040" w:themeColor="text1" w:themeTint="BF"/>
        </w:rPr>
        <w:t>% celkových emisí skleníkových plynů</w:t>
      </w:r>
      <w:r w:rsidR="005942E7">
        <w:rPr>
          <w:rFonts w:ascii="Calibri" w:hAnsi="Calibri" w:cs="Calibri"/>
          <w:color w:val="404040" w:themeColor="text1" w:themeTint="BF"/>
        </w:rPr>
        <w:t xml:space="preserve"> z</w:t>
      </w:r>
      <w:r w:rsidR="005942E7" w:rsidRPr="00DA1085">
        <w:rPr>
          <w:rFonts w:ascii="Calibri" w:hAnsi="Calibri" w:cs="Calibri"/>
          <w:color w:val="404040" w:themeColor="text1" w:themeTint="BF"/>
        </w:rPr>
        <w:t xml:space="preserve"> těžkých nákladních vozidel.</w:t>
      </w:r>
      <w:r w:rsidR="005942E7">
        <w:rPr>
          <w:rFonts w:ascii="Calibri" w:hAnsi="Calibri" w:cs="Calibri"/>
          <w:color w:val="404040" w:themeColor="text1" w:themeTint="BF"/>
        </w:rPr>
        <w:t xml:space="preserve"> </w:t>
      </w:r>
      <w:r w:rsidR="005942E7" w:rsidRPr="00C22BA3">
        <w:rPr>
          <w:rFonts w:ascii="Calibri" w:hAnsi="Calibri" w:cs="Calibri"/>
          <w:color w:val="404040" w:themeColor="text1" w:themeTint="BF"/>
        </w:rPr>
        <w:t xml:space="preserve">Po </w:t>
      </w:r>
      <w:r w:rsidR="005942E7">
        <w:rPr>
          <w:rFonts w:ascii="Calibri" w:hAnsi="Calibri" w:cs="Calibri"/>
          <w:color w:val="404040" w:themeColor="text1" w:themeTint="BF"/>
        </w:rPr>
        <w:t>přezkumu v roce 2022 na základě oficiálních dat za 3 roky by měl být efekty pokročilých technologií zaváděny</w:t>
      </w:r>
      <w:r w:rsidR="005942E7" w:rsidRPr="00627A07">
        <w:rPr>
          <w:rFonts w:ascii="Calibri" w:hAnsi="Calibri" w:cs="Calibri"/>
          <w:color w:val="404040" w:themeColor="text1" w:themeTint="BF"/>
        </w:rPr>
        <w:t xml:space="preserve"> </w:t>
      </w:r>
      <w:r w:rsidR="005942E7">
        <w:rPr>
          <w:rFonts w:ascii="Calibri" w:hAnsi="Calibri" w:cs="Calibri"/>
          <w:color w:val="404040" w:themeColor="text1" w:themeTint="BF"/>
        </w:rPr>
        <w:t>rychleji. Dále dojde k zahrnutí kategorií vozidel nespadajících pod emisní cíle, to se týká autobusů, menších nákladních vozidel a přívěsů.</w:t>
      </w:r>
      <w:r w:rsidR="003633CD">
        <w:rPr>
          <w:rFonts w:ascii="Calibri" w:hAnsi="Calibri" w:cs="Calibri"/>
          <w:color w:val="404040" w:themeColor="text1" w:themeTint="BF"/>
        </w:rPr>
        <w:t xml:space="preserve"> </w:t>
      </w:r>
      <w:r w:rsidR="005942E7" w:rsidRPr="0066095F">
        <w:rPr>
          <w:rFonts w:ascii="Calibri" w:hAnsi="Calibri" w:cs="Calibri"/>
          <w:b/>
          <w:color w:val="404040" w:themeColor="text1" w:themeTint="BF"/>
        </w:rPr>
        <w:t>Autobusy</w:t>
      </w:r>
      <w:r w:rsidR="005942E7">
        <w:rPr>
          <w:rFonts w:ascii="Calibri" w:hAnsi="Calibri" w:cs="Calibri"/>
          <w:color w:val="404040" w:themeColor="text1" w:themeTint="BF"/>
        </w:rPr>
        <w:t xml:space="preserve">, pro které jsou široce dostupné nízkoemisní a bezemisní pohony, </w:t>
      </w:r>
      <w:r w:rsidR="005942E7" w:rsidRPr="0066095F">
        <w:rPr>
          <w:rFonts w:ascii="Calibri" w:hAnsi="Calibri" w:cs="Calibri"/>
          <w:b/>
          <w:color w:val="404040" w:themeColor="text1" w:themeTint="BF"/>
        </w:rPr>
        <w:t>zatím nebudou předmětem emisních cílů</w:t>
      </w:r>
      <w:r w:rsidR="005942E7">
        <w:rPr>
          <w:rFonts w:ascii="Calibri" w:hAnsi="Calibri" w:cs="Calibri"/>
          <w:color w:val="404040" w:themeColor="text1" w:themeTint="BF"/>
        </w:rPr>
        <w:t xml:space="preserve">, nejdříve musí být vytvořena legislativa pro sběr dat. 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b/>
          <w:iCs w:val="0"/>
        </w:rPr>
      </w:pPr>
      <w:r w:rsidRPr="00836F2F">
        <w:rPr>
          <w:rStyle w:val="Zdraznnjemn"/>
          <w:rFonts w:ascii="Calibri" w:hAnsi="Calibri" w:cs="Calibri"/>
          <w:b/>
          <w:iCs w:val="0"/>
        </w:rPr>
        <w:t>Nová metodologie pro srovnávání cen paliv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>
        <w:rPr>
          <w:rStyle w:val="Zdraznnjemn"/>
          <w:rFonts w:ascii="Calibri" w:hAnsi="Calibri" w:cs="Calibri"/>
          <w:i w:val="0"/>
          <w:iCs w:val="0"/>
        </w:rPr>
        <w:t xml:space="preserve">Metodologie umožní spotřebitelům </w:t>
      </w:r>
      <w:r w:rsidRPr="00B67C1B">
        <w:rPr>
          <w:rStyle w:val="Zdraznnjemn"/>
          <w:rFonts w:ascii="Calibri" w:hAnsi="Calibri" w:cs="Calibri"/>
          <w:b/>
          <w:i w:val="0"/>
          <w:iCs w:val="0"/>
        </w:rPr>
        <w:t>porovnávat ceny různých druhů paliv</w:t>
      </w:r>
      <w:r>
        <w:rPr>
          <w:rStyle w:val="Zdraznnjemn"/>
          <w:rFonts w:ascii="Calibri" w:hAnsi="Calibri" w:cs="Calibri"/>
          <w:i w:val="0"/>
          <w:iCs w:val="0"/>
        </w:rPr>
        <w:t xml:space="preserve"> (konvenčních x alternativních), což by mělo posílit povědomí o výhodnosti jednotlivých paliv a přispět k diverzifikaci zdroj a snížení emisí.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Pr="00836F2F" w:rsidRDefault="005942E7" w:rsidP="005942E7">
      <w:pPr>
        <w:spacing w:after="0"/>
        <w:jc w:val="both"/>
        <w:rPr>
          <w:rStyle w:val="Zdraznnjemn"/>
          <w:rFonts w:ascii="Calibri" w:hAnsi="Calibri" w:cs="Calibri"/>
          <w:b/>
          <w:iCs w:val="0"/>
        </w:rPr>
      </w:pPr>
      <w:r w:rsidRPr="00836F2F">
        <w:rPr>
          <w:rStyle w:val="Zdraznnjemn"/>
          <w:rFonts w:ascii="Calibri" w:hAnsi="Calibri" w:cs="Calibri"/>
          <w:b/>
          <w:iCs w:val="0"/>
        </w:rPr>
        <w:t xml:space="preserve">Vylepšené </w:t>
      </w:r>
      <w:r>
        <w:rPr>
          <w:rStyle w:val="Zdraznnjemn"/>
          <w:rFonts w:ascii="Calibri" w:hAnsi="Calibri" w:cs="Calibri"/>
          <w:b/>
          <w:iCs w:val="0"/>
        </w:rPr>
        <w:t>o</w:t>
      </w:r>
      <w:r w:rsidRPr="00836F2F">
        <w:rPr>
          <w:rStyle w:val="Zdraznnjemn"/>
          <w:rFonts w:ascii="Calibri" w:hAnsi="Calibri" w:cs="Calibri"/>
          <w:b/>
          <w:iCs w:val="0"/>
        </w:rPr>
        <w:t>znač</w:t>
      </w:r>
      <w:r>
        <w:rPr>
          <w:rStyle w:val="Zdraznnjemn"/>
          <w:rFonts w:ascii="Calibri" w:hAnsi="Calibri" w:cs="Calibri"/>
          <w:b/>
          <w:iCs w:val="0"/>
        </w:rPr>
        <w:t>ová</w:t>
      </w:r>
      <w:r w:rsidRPr="00836F2F">
        <w:rPr>
          <w:rStyle w:val="Zdraznnjemn"/>
          <w:rFonts w:ascii="Calibri" w:hAnsi="Calibri" w:cs="Calibri"/>
          <w:b/>
          <w:iCs w:val="0"/>
        </w:rPr>
        <w:t>ní</w:t>
      </w:r>
      <w:r>
        <w:rPr>
          <w:rStyle w:val="Zdraznnjemn"/>
          <w:rFonts w:ascii="Calibri" w:hAnsi="Calibri" w:cs="Calibri"/>
          <w:b/>
          <w:iCs w:val="0"/>
        </w:rPr>
        <w:t>/štítkování</w:t>
      </w:r>
      <w:r w:rsidRPr="00836F2F">
        <w:rPr>
          <w:rStyle w:val="Zdraznnjemn"/>
          <w:rFonts w:ascii="Calibri" w:hAnsi="Calibri" w:cs="Calibri"/>
          <w:b/>
          <w:iCs w:val="0"/>
        </w:rPr>
        <w:t xml:space="preserve"> pneumatik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>
        <w:rPr>
          <w:rStyle w:val="Zdraznnjemn"/>
          <w:rFonts w:ascii="Calibri" w:hAnsi="Calibri" w:cs="Calibri"/>
          <w:i w:val="0"/>
          <w:iCs w:val="0"/>
        </w:rPr>
        <w:t xml:space="preserve">Revize posiluje účinky nařízení o označování pneumatik v oblasti bezpečnosti a šetření paliva. Záměrem je zajištění </w:t>
      </w:r>
      <w:r w:rsidRPr="00B67C1B">
        <w:rPr>
          <w:rStyle w:val="Zdraznnjemn"/>
          <w:rFonts w:ascii="Calibri" w:hAnsi="Calibri" w:cs="Calibri"/>
          <w:b/>
          <w:i w:val="0"/>
          <w:iCs w:val="0"/>
        </w:rPr>
        <w:t>viditelnosti štítků</w:t>
      </w:r>
      <w:r>
        <w:rPr>
          <w:rStyle w:val="Zdraznnjemn"/>
          <w:rFonts w:ascii="Calibri" w:hAnsi="Calibri" w:cs="Calibri"/>
          <w:i w:val="0"/>
          <w:iCs w:val="0"/>
        </w:rPr>
        <w:t xml:space="preserve"> při nákupu pneumatik. Dále revize míří k rozšíření výkonnostních parametrů a bere v potaz např. i cíle oběhového hospodářství. Dojde také k posílení vymáhání dodržování nařízení.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Pr="00AC441C" w:rsidRDefault="005942E7" w:rsidP="005942E7">
      <w:pPr>
        <w:spacing w:after="0"/>
        <w:jc w:val="both"/>
        <w:rPr>
          <w:rStyle w:val="Zdraznnjemn"/>
          <w:rFonts w:ascii="Calibri" w:hAnsi="Calibri" w:cs="Calibri"/>
          <w:b/>
          <w:iCs w:val="0"/>
        </w:rPr>
      </w:pPr>
      <w:r w:rsidRPr="00AC441C">
        <w:rPr>
          <w:rStyle w:val="Zdraznnjemn"/>
          <w:rFonts w:ascii="Calibri" w:hAnsi="Calibri" w:cs="Calibri"/>
          <w:b/>
          <w:iCs w:val="0"/>
        </w:rPr>
        <w:t xml:space="preserve">Požadavky pro navrhování nákladních vozů za účelem snížení emisí </w:t>
      </w:r>
      <w:r w:rsidRPr="00F960DD">
        <w:rPr>
          <w:rFonts w:cstheme="minorHAnsi"/>
          <w:b/>
          <w:color w:val="404040" w:themeColor="text1" w:themeTint="BF"/>
        </w:rPr>
        <w:t>CO</w:t>
      </w:r>
      <w:r w:rsidRPr="00F960DD">
        <w:rPr>
          <w:rFonts w:cstheme="minorHAnsi"/>
          <w:b/>
          <w:color w:val="404040" w:themeColor="text1" w:themeTint="BF"/>
          <w:vertAlign w:val="subscript"/>
        </w:rPr>
        <w:t>2</w:t>
      </w:r>
      <w:r w:rsidRPr="00AC441C">
        <w:rPr>
          <w:rStyle w:val="Zdraznnjemn"/>
          <w:rFonts w:ascii="Calibri" w:hAnsi="Calibri" w:cs="Calibri"/>
          <w:b/>
          <w:iCs w:val="0"/>
        </w:rPr>
        <w:t xml:space="preserve"> a zvýšení bezpečnosti</w:t>
      </w:r>
    </w:p>
    <w:p w:rsidR="005942E7" w:rsidRDefault="00761F50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>
        <w:rPr>
          <w:rStyle w:val="Zdraznnjemn"/>
          <w:rFonts w:ascii="Calibri" w:hAnsi="Calibri" w:cs="Calibri"/>
          <w:i w:val="0"/>
          <w:iCs w:val="0"/>
        </w:rPr>
        <w:t>A</w:t>
      </w:r>
      <w:r w:rsidR="005942E7">
        <w:rPr>
          <w:rStyle w:val="Zdraznnjemn"/>
          <w:rFonts w:ascii="Calibri" w:hAnsi="Calibri" w:cs="Calibri"/>
          <w:i w:val="0"/>
          <w:iCs w:val="0"/>
        </w:rPr>
        <w:t xml:space="preserve">erodynamika vozů </w:t>
      </w:r>
      <w:r>
        <w:rPr>
          <w:rStyle w:val="Zdraznnjemn"/>
          <w:rFonts w:ascii="Calibri" w:hAnsi="Calibri" w:cs="Calibri"/>
          <w:i w:val="0"/>
          <w:iCs w:val="0"/>
        </w:rPr>
        <w:t xml:space="preserve">má </w:t>
      </w:r>
      <w:r w:rsidR="005942E7">
        <w:rPr>
          <w:rStyle w:val="Zdraznnjemn"/>
          <w:rFonts w:ascii="Calibri" w:hAnsi="Calibri" w:cs="Calibri"/>
          <w:i w:val="0"/>
          <w:iCs w:val="0"/>
        </w:rPr>
        <w:t>přímý dopad na produkci emisí CO</w:t>
      </w:r>
      <w:r w:rsidR="005942E7" w:rsidRPr="002E2802">
        <w:rPr>
          <w:rStyle w:val="Zdraznnjemn"/>
          <w:rFonts w:ascii="Calibri" w:hAnsi="Calibri" w:cs="Calibri"/>
          <w:i w:val="0"/>
          <w:iCs w:val="0"/>
          <w:vertAlign w:val="subscript"/>
        </w:rPr>
        <w:t>2</w:t>
      </w:r>
      <w:r w:rsidR="005942E7">
        <w:rPr>
          <w:rStyle w:val="Zdraznnjemn"/>
          <w:rFonts w:ascii="Calibri" w:hAnsi="Calibri" w:cs="Calibri"/>
          <w:i w:val="0"/>
          <w:iCs w:val="0"/>
        </w:rPr>
        <w:t xml:space="preserve">, </w:t>
      </w:r>
      <w:r>
        <w:rPr>
          <w:rStyle w:val="Zdraznnjemn"/>
          <w:rFonts w:ascii="Calibri" w:hAnsi="Calibri" w:cs="Calibri"/>
          <w:i w:val="0"/>
          <w:iCs w:val="0"/>
        </w:rPr>
        <w:t>proto se</w:t>
      </w:r>
      <w:r w:rsidR="005942E7">
        <w:rPr>
          <w:rStyle w:val="Zdraznnjemn"/>
          <w:rFonts w:ascii="Calibri" w:hAnsi="Calibri" w:cs="Calibri"/>
          <w:i w:val="0"/>
          <w:iCs w:val="0"/>
        </w:rPr>
        <w:t xml:space="preserve"> navrhuje reviz</w:t>
      </w:r>
      <w:r>
        <w:rPr>
          <w:rStyle w:val="Zdraznnjemn"/>
          <w:rFonts w:ascii="Calibri" w:hAnsi="Calibri" w:cs="Calibri"/>
          <w:i w:val="0"/>
          <w:iCs w:val="0"/>
        </w:rPr>
        <w:t>e</w:t>
      </w:r>
      <w:r w:rsidR="005942E7">
        <w:rPr>
          <w:rStyle w:val="Zdraznnjemn"/>
          <w:rFonts w:ascii="Calibri" w:hAnsi="Calibri" w:cs="Calibri"/>
          <w:i w:val="0"/>
          <w:iCs w:val="0"/>
        </w:rPr>
        <w:t xml:space="preserve"> legislativy o hmotnosti a rozměrech určitých vozidel, aby výrobci mohly do roku 2019 uvést více </w:t>
      </w:r>
      <w:r w:rsidR="005942E7" w:rsidRPr="0080607D">
        <w:rPr>
          <w:rStyle w:val="Zdraznnjemn"/>
          <w:rFonts w:ascii="Calibri" w:hAnsi="Calibri" w:cs="Calibri"/>
          <w:b/>
          <w:i w:val="0"/>
          <w:iCs w:val="0"/>
        </w:rPr>
        <w:t xml:space="preserve">aerodynamické a kulatější kabiny </w:t>
      </w:r>
      <w:r w:rsidR="005942E7">
        <w:rPr>
          <w:rStyle w:val="Zdraznnjemn"/>
          <w:rFonts w:ascii="Calibri" w:hAnsi="Calibri" w:cs="Calibri"/>
          <w:i w:val="0"/>
          <w:iCs w:val="0"/>
        </w:rPr>
        <w:t xml:space="preserve">těžkých </w:t>
      </w:r>
      <w:r w:rsidR="00B51C66">
        <w:rPr>
          <w:rStyle w:val="Zdraznnjemn"/>
          <w:rFonts w:ascii="Calibri" w:hAnsi="Calibri" w:cs="Calibri"/>
          <w:i w:val="0"/>
          <w:iCs w:val="0"/>
        </w:rPr>
        <w:t xml:space="preserve">užitkových </w:t>
      </w:r>
      <w:r w:rsidR="005942E7">
        <w:rPr>
          <w:rStyle w:val="Zdraznnjemn"/>
          <w:rFonts w:ascii="Calibri" w:hAnsi="Calibri" w:cs="Calibri"/>
          <w:i w:val="0"/>
          <w:iCs w:val="0"/>
        </w:rPr>
        <w:t xml:space="preserve">vozidel HDV. Spolu s emisními standardy pro těžká nákladní vozidla HGV by návrh měl přispět ke snížení emisí </w:t>
      </w:r>
      <w:r w:rsidR="005942E7" w:rsidRPr="00E831C7">
        <w:rPr>
          <w:rFonts w:cstheme="minorHAnsi"/>
          <w:color w:val="404040" w:themeColor="text1" w:themeTint="BF"/>
        </w:rPr>
        <w:t>CO</w:t>
      </w:r>
      <w:r w:rsidR="005942E7" w:rsidRPr="00F960DD">
        <w:rPr>
          <w:rFonts w:cstheme="minorHAnsi"/>
          <w:color w:val="404040" w:themeColor="text1" w:themeTint="BF"/>
          <w:vertAlign w:val="subscript"/>
        </w:rPr>
        <w:t>2</w:t>
      </w:r>
      <w:r w:rsidR="005942E7">
        <w:rPr>
          <w:rStyle w:val="Zdraznnjemn"/>
          <w:rFonts w:ascii="Calibri" w:hAnsi="Calibri" w:cs="Calibri"/>
          <w:i w:val="0"/>
          <w:iCs w:val="0"/>
        </w:rPr>
        <w:t xml:space="preserve"> a zlepšení životního prostředí. </w:t>
      </w:r>
      <w:r>
        <w:rPr>
          <w:rStyle w:val="Zdraznnjemn"/>
          <w:rFonts w:ascii="Calibri" w:hAnsi="Calibri" w:cs="Calibri"/>
          <w:i w:val="0"/>
          <w:iCs w:val="0"/>
        </w:rPr>
        <w:t>C</w:t>
      </w:r>
      <w:r w:rsidR="005942E7">
        <w:rPr>
          <w:rStyle w:val="Zdraznnjemn"/>
          <w:rFonts w:ascii="Calibri" w:hAnsi="Calibri" w:cs="Calibri"/>
          <w:i w:val="0"/>
          <w:iCs w:val="0"/>
        </w:rPr>
        <w:t xml:space="preserve">ílem je </w:t>
      </w:r>
      <w:r>
        <w:rPr>
          <w:rStyle w:val="Zdraznnjemn"/>
          <w:rFonts w:ascii="Calibri" w:hAnsi="Calibri" w:cs="Calibri"/>
          <w:i w:val="0"/>
          <w:iCs w:val="0"/>
        </w:rPr>
        <w:t xml:space="preserve">i </w:t>
      </w:r>
      <w:r w:rsidR="005942E7" w:rsidRPr="0080607D">
        <w:rPr>
          <w:rStyle w:val="Zdraznnjemn"/>
          <w:rFonts w:ascii="Calibri" w:hAnsi="Calibri" w:cs="Calibri"/>
          <w:b/>
          <w:i w:val="0"/>
          <w:iCs w:val="0"/>
        </w:rPr>
        <w:t>zlepšení výhledu řidičů</w:t>
      </w:r>
      <w:r w:rsidR="005942E7">
        <w:rPr>
          <w:rStyle w:val="Zdraznnjemn"/>
          <w:rFonts w:ascii="Calibri" w:hAnsi="Calibri" w:cs="Calibri"/>
          <w:i w:val="0"/>
          <w:iCs w:val="0"/>
        </w:rPr>
        <w:t xml:space="preserve"> nákladních vozidel a zvýšení bezpečnosti dalších účastníků provozu.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Pr="009A4895" w:rsidRDefault="005942E7" w:rsidP="005942E7">
      <w:pPr>
        <w:spacing w:after="0"/>
        <w:jc w:val="both"/>
        <w:rPr>
          <w:rStyle w:val="Zdraznnjemn"/>
          <w:rFonts w:ascii="Calibri" w:hAnsi="Calibri" w:cs="Calibri"/>
          <w:b/>
          <w:iCs w:val="0"/>
        </w:rPr>
      </w:pPr>
      <w:r w:rsidRPr="009A4895">
        <w:rPr>
          <w:rStyle w:val="Zdraznnjemn"/>
          <w:rFonts w:ascii="Calibri" w:hAnsi="Calibri" w:cs="Calibri"/>
          <w:b/>
          <w:iCs w:val="0"/>
        </w:rPr>
        <w:t>Revize rámce pro zdanění energií za účelem podpory elektromobility</w:t>
      </w:r>
    </w:p>
    <w:p w:rsidR="005942E7" w:rsidRPr="000708D6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>
        <w:rPr>
          <w:rStyle w:val="Zdraznnjemn"/>
          <w:rFonts w:ascii="Calibri" w:hAnsi="Calibri" w:cs="Calibri"/>
          <w:i w:val="0"/>
          <w:iCs w:val="0"/>
        </w:rPr>
        <w:t>Součástí balíčku není žádný legislativní návrh, ale Komise bude hledat možnosti podpory elektromobility v kontextu budoucí revize směrnice o zdanění energií (</w:t>
      </w:r>
      <w:r w:rsidRPr="00522C49">
        <w:rPr>
          <w:rStyle w:val="Zdraznnjemn"/>
          <w:rFonts w:ascii="Calibri" w:hAnsi="Calibri" w:cs="Calibri"/>
          <w:i w:val="0"/>
          <w:iCs w:val="0"/>
        </w:rPr>
        <w:t>Energy Taxation Directive</w:t>
      </w:r>
      <w:r>
        <w:rPr>
          <w:rStyle w:val="Zdraznnjemn"/>
          <w:rFonts w:ascii="Calibri" w:hAnsi="Calibri" w:cs="Calibri"/>
          <w:i w:val="0"/>
          <w:iCs w:val="0"/>
        </w:rPr>
        <w:t xml:space="preserve">). Dnešní stav ale již </w:t>
      </w:r>
      <w:r w:rsidRPr="000708D6">
        <w:rPr>
          <w:rStyle w:val="Zdraznnjemn"/>
          <w:rFonts w:ascii="Calibri" w:hAnsi="Calibri" w:cs="Calibri"/>
          <w:i w:val="0"/>
          <w:iCs w:val="0"/>
        </w:rPr>
        <w:t>umožňuje členským státům zdaněním podporovat elektromobilitu.</w:t>
      </w:r>
    </w:p>
    <w:p w:rsidR="005942E7" w:rsidRPr="000708D6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Pr="000708D6" w:rsidRDefault="005942E7" w:rsidP="005942E7">
      <w:pPr>
        <w:spacing w:after="0"/>
        <w:jc w:val="both"/>
        <w:rPr>
          <w:b/>
          <w:color w:val="404040" w:themeColor="text1" w:themeTint="BF"/>
        </w:rPr>
      </w:pPr>
      <w:r w:rsidRPr="000708D6">
        <w:rPr>
          <w:b/>
          <w:color w:val="404040" w:themeColor="text1" w:themeTint="BF"/>
        </w:rPr>
        <w:t>Zjednodušující opatření pro komunikace TEN-T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>
        <w:rPr>
          <w:rStyle w:val="Zdraznnjemn"/>
          <w:rFonts w:ascii="Calibri" w:hAnsi="Calibri" w:cs="Calibri"/>
          <w:i w:val="0"/>
          <w:iCs w:val="0"/>
        </w:rPr>
        <w:t>Cílem Komise je zajištění efektivních, chytrých, bezpečných a udržitelných komunikací TEN-T. Legislativa zajistí zjednodušení výstavby TEN-T sítí a zároveň podpoří multimodální dopravu. Opatření směřují k </w:t>
      </w:r>
      <w:r w:rsidRPr="00B67C1B">
        <w:rPr>
          <w:rStyle w:val="Zdraznnjemn"/>
          <w:rFonts w:ascii="Calibri" w:hAnsi="Calibri" w:cs="Calibri"/>
          <w:b/>
          <w:i w:val="0"/>
          <w:iCs w:val="0"/>
        </w:rPr>
        <w:t>jednoduššímu udělování stavebních povolení</w:t>
      </w:r>
      <w:r>
        <w:rPr>
          <w:rStyle w:val="Zdraznnjemn"/>
          <w:rFonts w:ascii="Calibri" w:hAnsi="Calibri" w:cs="Calibri"/>
          <w:i w:val="0"/>
          <w:iCs w:val="0"/>
        </w:rPr>
        <w:t xml:space="preserve">, veřejných zakázek a </w:t>
      </w:r>
      <w:r w:rsidRPr="00B67C1B">
        <w:rPr>
          <w:rStyle w:val="Zdraznnjemn"/>
          <w:rFonts w:ascii="Calibri" w:hAnsi="Calibri" w:cs="Calibri"/>
          <w:b/>
          <w:i w:val="0"/>
          <w:iCs w:val="0"/>
        </w:rPr>
        <w:t>snížení administrativy</w:t>
      </w:r>
      <w:r>
        <w:rPr>
          <w:rStyle w:val="Zdraznnjemn"/>
          <w:rFonts w:ascii="Calibri" w:hAnsi="Calibri" w:cs="Calibri"/>
          <w:i w:val="0"/>
          <w:iCs w:val="0"/>
        </w:rPr>
        <w:t xml:space="preserve"> za účelem efektivnějších procesů, větší transparentnosti a větší akceptaci veřejností. Balíček bude podpořen výzvou v rámci fondu </w:t>
      </w:r>
      <w:r w:rsidRPr="00B67C1B">
        <w:rPr>
          <w:rStyle w:val="Zdraznnjemn"/>
          <w:rFonts w:ascii="Calibri" w:hAnsi="Calibri" w:cs="Calibri"/>
          <w:b/>
          <w:i w:val="0"/>
          <w:iCs w:val="0"/>
        </w:rPr>
        <w:t>CEF se 450 mil. EUR</w:t>
      </w:r>
      <w:r>
        <w:rPr>
          <w:rStyle w:val="Zdraznnjemn"/>
          <w:rFonts w:ascii="Calibri" w:hAnsi="Calibri" w:cs="Calibri"/>
          <w:i w:val="0"/>
          <w:iCs w:val="0"/>
        </w:rPr>
        <w:t>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Pr="00884F71" w:rsidRDefault="00316E66" w:rsidP="005942E7">
      <w:p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hyperlink r:id="rId70" w:history="1">
        <w:r w:rsidR="005942E7" w:rsidRPr="00884F71">
          <w:rPr>
            <w:rStyle w:val="Hypertextovodkaz"/>
            <w:rFonts w:ascii="Calibri" w:hAnsi="Calibri" w:cs="Calibri"/>
            <w:b/>
          </w:rPr>
          <w:t>Sdělení Komise: Evropa, která chrání: čistý vzduch pro všechny</w:t>
        </w:r>
      </w:hyperlink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>
        <w:rPr>
          <w:rStyle w:val="Zdraznnjemn"/>
          <w:rFonts w:ascii="Calibri" w:hAnsi="Calibri" w:cs="Calibri"/>
          <w:i w:val="0"/>
          <w:iCs w:val="0"/>
        </w:rPr>
        <w:lastRenderedPageBreak/>
        <w:t>Od roku 2000 vzrostlo HDP EU o 32 %, zatímco emise u hlavních polutantů klesly o 10 až 70 %. Nicméně v řadě oblastech je ovzduší stále problémem a nedosahuje požadované kvality. Znečištění ovzduší má za následek přes 400 000 předčasných úmrtí, a je tak nejvážnějším dopadem životního prostředí.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Pr="004624BA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4624BA">
        <w:rPr>
          <w:rStyle w:val="Zdraznnjemn"/>
          <w:rFonts w:ascii="Calibri" w:hAnsi="Calibri" w:cs="Calibri"/>
          <w:b/>
          <w:i w:val="0"/>
          <w:iCs w:val="0"/>
        </w:rPr>
        <w:t xml:space="preserve">Opatření ke snížení emisí z dopravy </w:t>
      </w:r>
      <w:r w:rsidRPr="004624BA">
        <w:rPr>
          <w:rStyle w:val="Zdraznnjemn"/>
          <w:rFonts w:ascii="Calibri" w:hAnsi="Calibri" w:cs="Calibri"/>
          <w:i w:val="0"/>
          <w:iCs w:val="0"/>
        </w:rPr>
        <w:t>(pouze nová opatření)</w:t>
      </w:r>
    </w:p>
    <w:p w:rsidR="005942E7" w:rsidRDefault="005942E7" w:rsidP="00342A08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4624BA">
        <w:rPr>
          <w:rStyle w:val="Zdraznnjemn"/>
          <w:rFonts w:ascii="Calibri" w:hAnsi="Calibri" w:cs="Calibri"/>
          <w:i w:val="0"/>
          <w:iCs w:val="0"/>
        </w:rPr>
        <w:t>Doprav</w:t>
      </w:r>
      <w:r w:rsidR="00342A08">
        <w:rPr>
          <w:rStyle w:val="Zdraznnjemn"/>
          <w:rFonts w:ascii="Calibri" w:hAnsi="Calibri" w:cs="Calibri"/>
          <w:i w:val="0"/>
          <w:iCs w:val="0"/>
        </w:rPr>
        <w:t>a</w:t>
      </w:r>
      <w:r w:rsidRPr="004624BA">
        <w:rPr>
          <w:rStyle w:val="Zdraznnjemn"/>
          <w:rFonts w:ascii="Calibri" w:hAnsi="Calibri" w:cs="Calibri"/>
          <w:i w:val="0"/>
          <w:iCs w:val="0"/>
        </w:rPr>
        <w:t xml:space="preserve"> je největší tvůrcem emisí dusíku a významným producentem prachových částic. </w:t>
      </w:r>
      <w:r w:rsidR="00342A08">
        <w:rPr>
          <w:rStyle w:val="Zdraznnjemn"/>
          <w:rFonts w:ascii="Calibri" w:hAnsi="Calibri" w:cs="Calibri"/>
          <w:i w:val="0"/>
          <w:iCs w:val="0"/>
        </w:rPr>
        <w:t>EU</w:t>
      </w:r>
      <w:r w:rsidRPr="004624BA">
        <w:rPr>
          <w:rStyle w:val="Zdraznnjemn"/>
          <w:rFonts w:ascii="Calibri" w:hAnsi="Calibri" w:cs="Calibri"/>
          <w:i w:val="0"/>
          <w:iCs w:val="0"/>
        </w:rPr>
        <w:t xml:space="preserve"> připravila</w:t>
      </w:r>
      <w:r>
        <w:rPr>
          <w:rStyle w:val="Zdraznnjemn"/>
          <w:rFonts w:ascii="Calibri" w:hAnsi="Calibri" w:cs="Calibri"/>
          <w:i w:val="0"/>
          <w:iCs w:val="0"/>
        </w:rPr>
        <w:t xml:space="preserve"> </w:t>
      </w:r>
      <w:r w:rsidRPr="00B67C1B">
        <w:rPr>
          <w:rStyle w:val="Zdraznnjemn"/>
          <w:rFonts w:ascii="Calibri" w:hAnsi="Calibri" w:cs="Calibri"/>
          <w:b/>
          <w:i w:val="0"/>
          <w:iCs w:val="0"/>
        </w:rPr>
        <w:t>nezávazný rámec pro zavádění emisních zón ve městech</w:t>
      </w:r>
      <w:r w:rsidRPr="004624BA">
        <w:rPr>
          <w:rStyle w:val="Zdraznnjemn"/>
          <w:rFonts w:ascii="Calibri" w:hAnsi="Calibri" w:cs="Calibri"/>
          <w:i w:val="0"/>
          <w:iCs w:val="0"/>
        </w:rPr>
        <w:t>. Emisní zóny musejí být součástí širšího Plánu udržitelné městské mobility a integrovány v plánech na ochranu ovzduší, které byly zřízeny směrnicí 2008/50/ES o kvalitě vnějšího ovzduší a čistším ovzduší pro Evropu.</w:t>
      </w:r>
      <w:r>
        <w:rPr>
          <w:rStyle w:val="Zdraznnjemn"/>
          <w:rFonts w:ascii="Calibri" w:hAnsi="Calibri" w:cs="Calibri"/>
          <w:i w:val="0"/>
          <w:iCs w:val="0"/>
        </w:rPr>
        <w:br w:type="page"/>
      </w: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3" w:name="_Ref515184314"/>
      <w:r w:rsidRPr="00315741">
        <w:rPr>
          <w:rFonts w:ascii="Calibri" w:hAnsi="Calibri" w:cs="Calibri"/>
          <w:b/>
          <w:color w:val="404040" w:themeColor="text1" w:themeTint="BF"/>
        </w:rPr>
        <w:lastRenderedPageBreak/>
        <w:t>Bezpečnost silničního provozu</w:t>
      </w:r>
      <w:r w:rsidR="00315741" w:rsidRPr="00315741">
        <w:rPr>
          <w:rFonts w:ascii="Calibri" w:hAnsi="Calibri" w:cs="Calibri"/>
          <w:b/>
          <w:color w:val="404040" w:themeColor="text1" w:themeTint="BF"/>
        </w:rPr>
        <w:tab/>
      </w:r>
      <w:r w:rsidR="00315741" w:rsidRP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  <w:bookmarkEnd w:id="3"/>
    </w:p>
    <w:p w:rsidR="005942E7" w:rsidRPr="00B67C1B" w:rsidRDefault="005942E7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r w:rsidRPr="00B67C1B">
        <w:rPr>
          <w:color w:val="404040" w:themeColor="text1" w:themeTint="BF"/>
          <w:sz w:val="20"/>
        </w:rPr>
        <w:t>Viz kapitola 2 "Evropa v pohybu: Udržitelná mobilita pro Evropu: bezpečná, propojená a čistá"</w:t>
      </w:r>
    </w:p>
    <w:p w:rsidR="005942E7" w:rsidRPr="00B67C1B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71" w:history="1">
        <w:r w:rsidR="005942E7" w:rsidRPr="00B67C1B">
          <w:rPr>
            <w:rStyle w:val="Hypertextovodkaz"/>
            <w:rFonts w:ascii="Calibri" w:hAnsi="Calibri" w:cs="Calibri"/>
            <w:color w:val="4040FF" w:themeColor="hyperlink" w:themeTint="BF"/>
            <w:sz w:val="20"/>
          </w:rPr>
          <w:t>Strategický akční plán pro bezpečnost silničního provozu</w:t>
        </w:r>
      </w:hyperlink>
    </w:p>
    <w:p w:rsidR="005942E7" w:rsidRPr="00B67C1B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72" w:history="1">
        <w:r w:rsidR="005942E7" w:rsidRPr="00B67C1B">
          <w:rPr>
            <w:rStyle w:val="Hypertextovodkaz"/>
            <w:rFonts w:ascii="Calibri" w:hAnsi="Calibri" w:cs="Calibri"/>
            <w:b/>
            <w:color w:val="4040FF" w:themeColor="hyperlink" w:themeTint="BF"/>
            <w:sz w:val="20"/>
          </w:rPr>
          <w:t>Návrh nařízení o požadavcích na schvalování typu motorových vozidel a jejich přívěsů a systémů, konstrukčních částí a samostatných technických celků určených pro tato vozidla z hlediska jejich obecné bezpečnosti a ochrany cestujících v motorových vozidlech a zranitelných účastníků silničního provozu, kterým se mění nařízení (EU) 2018 / ... a kterým se zrušují nařízení (ES) č. 78/2009, (ES) č. 79/2009 a (ES) č. 661/2009</w:t>
        </w:r>
      </w:hyperlink>
    </w:p>
    <w:p w:rsidR="005942E7" w:rsidRPr="00B67C1B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73" w:history="1">
        <w:r w:rsidR="005942E7" w:rsidRPr="00B67C1B">
          <w:rPr>
            <w:rStyle w:val="Hypertextovodkaz"/>
            <w:rFonts w:ascii="Calibri" w:hAnsi="Calibri" w:cs="Calibri"/>
            <w:color w:val="4040FF" w:themeColor="hyperlink" w:themeTint="BF"/>
            <w:sz w:val="20"/>
          </w:rPr>
          <w:t>Přílohy</w:t>
        </w:r>
      </w:hyperlink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Pr="00B67C1B" w:rsidRDefault="00316E66" w:rsidP="005942E7">
      <w:p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hyperlink r:id="rId74" w:history="1">
        <w:r w:rsidR="005942E7" w:rsidRPr="00B67C1B">
          <w:rPr>
            <w:rStyle w:val="Hypertextovodkaz"/>
            <w:rFonts w:ascii="Calibri" w:hAnsi="Calibri" w:cs="Calibri"/>
            <w:b/>
            <w:color w:val="4040FF" w:themeColor="hyperlink" w:themeTint="BF"/>
          </w:rPr>
          <w:t>Strategický akční plán pro bezpečnost silničního provozu</w:t>
        </w:r>
      </w:hyperlink>
      <w:r w:rsidR="005942E7">
        <w:rPr>
          <w:rStyle w:val="Zdraznnjemn"/>
          <w:rFonts w:ascii="Calibri" w:hAnsi="Calibri" w:cs="Calibri"/>
          <w:i w:val="0"/>
          <w:iCs w:val="0"/>
        </w:rPr>
        <w:t xml:space="preserve"> (vybraná opatření)</w:t>
      </w:r>
    </w:p>
    <w:p w:rsidR="005942E7" w:rsidRPr="008232EC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DC455E">
        <w:rPr>
          <w:rStyle w:val="Zdraznnjemn"/>
          <w:rFonts w:ascii="Calibri" w:hAnsi="Calibri" w:cs="Calibri"/>
          <w:b/>
          <w:i w:val="0"/>
          <w:iCs w:val="0"/>
          <w:u w:val="single"/>
        </w:rPr>
        <w:t>Z</w:t>
      </w:r>
      <w:r w:rsidRPr="00DC455E">
        <w:rPr>
          <w:rStyle w:val="shorttext"/>
          <w:b/>
          <w:i/>
          <w:color w:val="404040" w:themeColor="text1" w:themeTint="BF"/>
          <w:u w:val="single"/>
        </w:rPr>
        <w:t>lepšené řízení bezpečnosti silničního provozu</w:t>
      </w:r>
      <w:r>
        <w:rPr>
          <w:rStyle w:val="shorttext"/>
          <w:b/>
          <w:i/>
          <w:color w:val="404040" w:themeColor="text1" w:themeTint="BF"/>
        </w:rPr>
        <w:t xml:space="preserve"> - </w:t>
      </w:r>
      <w:r w:rsidRPr="008232EC">
        <w:rPr>
          <w:rStyle w:val="Zdraznnjemn"/>
          <w:rFonts w:ascii="Calibri" w:hAnsi="Calibri" w:cs="Calibri"/>
          <w:i w:val="0"/>
          <w:iCs w:val="0"/>
        </w:rPr>
        <w:t xml:space="preserve">Komise vyjasní zásady politiky EU pro bezpečnost silničního provozu 2021-2030 stanovené v tomto sdělení [Q2 / 2019], </w:t>
      </w:r>
      <w:r>
        <w:rPr>
          <w:rStyle w:val="Zdraznnjemn"/>
          <w:rFonts w:ascii="Calibri" w:hAnsi="Calibri" w:cs="Calibri"/>
          <w:i w:val="0"/>
          <w:iCs w:val="0"/>
        </w:rPr>
        <w:t>sem patří mimo jiné:</w:t>
      </w:r>
    </w:p>
    <w:p w:rsidR="005942E7" w:rsidRDefault="005942E7" w:rsidP="00B6003D">
      <w:pPr>
        <w:pStyle w:val="Odstavecseseznamem"/>
        <w:numPr>
          <w:ilvl w:val="0"/>
          <w:numId w:val="9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C10EC9">
        <w:rPr>
          <w:rStyle w:val="Zdraznnjemn"/>
          <w:rFonts w:ascii="Calibri" w:hAnsi="Calibri" w:cs="Calibri"/>
          <w:i w:val="0"/>
          <w:iCs w:val="0"/>
        </w:rPr>
        <w:t>seznam výkonnostních ukazatelů navázaných na zamýšlené cíle;</w:t>
      </w:r>
    </w:p>
    <w:p w:rsidR="005942E7" w:rsidRPr="00C10EC9" w:rsidRDefault="005942E7" w:rsidP="00B6003D">
      <w:pPr>
        <w:pStyle w:val="Odstavecseseznamem"/>
        <w:numPr>
          <w:ilvl w:val="0"/>
          <w:numId w:val="9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C10EC9">
        <w:rPr>
          <w:rStyle w:val="Zdraznnjemn"/>
          <w:rFonts w:ascii="Calibri" w:hAnsi="Calibri" w:cs="Calibri"/>
          <w:i w:val="0"/>
          <w:iCs w:val="0"/>
        </w:rPr>
        <w:t>nová role evropského velvyslance pro bezpečnost silničního provozu, která bude koordinovat s členskými státy úsilí v oblasti bezpečnosti silničního provozu a šířit osvědčené postupy.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DC455E">
        <w:rPr>
          <w:rStyle w:val="Zdraznnjemn"/>
          <w:rFonts w:ascii="Calibri" w:hAnsi="Calibri" w:cs="Calibri"/>
          <w:b/>
          <w:iCs w:val="0"/>
          <w:u w:val="single"/>
        </w:rPr>
        <w:t>Silnější finanční podpora bezpečnosti silničního provozu</w:t>
      </w:r>
      <w:r>
        <w:rPr>
          <w:rStyle w:val="Zdraznnjemn"/>
          <w:rFonts w:ascii="Calibri" w:hAnsi="Calibri" w:cs="Calibri"/>
          <w:b/>
          <w:iCs w:val="0"/>
        </w:rPr>
        <w:t xml:space="preserve"> - </w:t>
      </w:r>
      <w:r>
        <w:rPr>
          <w:rStyle w:val="Zdraznnjemn"/>
          <w:rFonts w:ascii="Calibri" w:hAnsi="Calibri" w:cs="Calibri"/>
          <w:i w:val="0"/>
          <w:iCs w:val="0"/>
        </w:rPr>
        <w:t>Komise mimo jiné:</w:t>
      </w:r>
    </w:p>
    <w:p w:rsidR="005942E7" w:rsidRDefault="005942E7" w:rsidP="00B6003D">
      <w:pPr>
        <w:pStyle w:val="Odstavecseseznamem"/>
        <w:numPr>
          <w:ilvl w:val="0"/>
          <w:numId w:val="10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>
        <w:rPr>
          <w:rStyle w:val="Zdraznnjemn"/>
          <w:rFonts w:ascii="Calibri" w:hAnsi="Calibri" w:cs="Calibri"/>
          <w:i w:val="0"/>
          <w:iCs w:val="0"/>
        </w:rPr>
        <w:t xml:space="preserve">bude </w:t>
      </w:r>
      <w:r w:rsidRPr="00111748">
        <w:rPr>
          <w:rStyle w:val="Zdraznnjemn"/>
          <w:rFonts w:ascii="Calibri" w:hAnsi="Calibri" w:cs="Calibri"/>
          <w:i w:val="0"/>
          <w:iCs w:val="0"/>
        </w:rPr>
        <w:t xml:space="preserve">podporovat využívání finanční podpory EU z ESIF </w:t>
      </w:r>
      <w:r>
        <w:rPr>
          <w:rStyle w:val="Zdraznnjemn"/>
          <w:rFonts w:ascii="Calibri" w:hAnsi="Calibri" w:cs="Calibri"/>
          <w:i w:val="0"/>
          <w:iCs w:val="0"/>
        </w:rPr>
        <w:t>pro</w:t>
      </w:r>
      <w:r w:rsidRPr="00111748">
        <w:rPr>
          <w:rStyle w:val="Zdraznnjemn"/>
          <w:rFonts w:ascii="Calibri" w:hAnsi="Calibri" w:cs="Calibri"/>
          <w:i w:val="0"/>
          <w:iCs w:val="0"/>
        </w:rPr>
        <w:t xml:space="preserve"> zvyšování bezpečnosti silniční infrastruktury, zejména v členských státech</w:t>
      </w:r>
      <w:r>
        <w:rPr>
          <w:rStyle w:val="Zdraznnjemn"/>
          <w:rFonts w:ascii="Calibri" w:hAnsi="Calibri" w:cs="Calibri"/>
          <w:i w:val="0"/>
          <w:iCs w:val="0"/>
        </w:rPr>
        <w:t xml:space="preserve"> s relativně</w:t>
      </w:r>
      <w:r w:rsidRPr="00111748">
        <w:rPr>
          <w:rStyle w:val="Zdraznnjemn"/>
          <w:rFonts w:ascii="Calibri" w:hAnsi="Calibri" w:cs="Calibri"/>
          <w:i w:val="0"/>
          <w:iCs w:val="0"/>
        </w:rPr>
        <w:t xml:space="preserve"> špatn</w:t>
      </w:r>
      <w:r>
        <w:rPr>
          <w:rStyle w:val="Zdraznnjemn"/>
          <w:rFonts w:ascii="Calibri" w:hAnsi="Calibri" w:cs="Calibri"/>
          <w:i w:val="0"/>
          <w:iCs w:val="0"/>
        </w:rPr>
        <w:t>ou</w:t>
      </w:r>
      <w:r w:rsidRPr="00111748">
        <w:rPr>
          <w:rStyle w:val="Zdraznnjemn"/>
          <w:rFonts w:ascii="Calibri" w:hAnsi="Calibri" w:cs="Calibri"/>
          <w:i w:val="0"/>
          <w:iCs w:val="0"/>
        </w:rPr>
        <w:t xml:space="preserve"> bezpečnost</w:t>
      </w:r>
      <w:r>
        <w:rPr>
          <w:rStyle w:val="Zdraznnjemn"/>
          <w:rFonts w:ascii="Calibri" w:hAnsi="Calibri" w:cs="Calibri"/>
          <w:i w:val="0"/>
          <w:iCs w:val="0"/>
        </w:rPr>
        <w:t>í</w:t>
      </w:r>
      <w:r w:rsidRPr="00111748">
        <w:rPr>
          <w:rStyle w:val="Zdraznnjemn"/>
          <w:rFonts w:ascii="Calibri" w:hAnsi="Calibri" w:cs="Calibri"/>
          <w:i w:val="0"/>
          <w:iCs w:val="0"/>
        </w:rPr>
        <w:t xml:space="preserve"> silničního provozu a</w:t>
      </w:r>
      <w:r>
        <w:rPr>
          <w:rStyle w:val="Zdraznnjemn"/>
          <w:rFonts w:ascii="Calibri" w:hAnsi="Calibri" w:cs="Calibri"/>
          <w:i w:val="0"/>
          <w:iCs w:val="0"/>
        </w:rPr>
        <w:t> </w:t>
      </w:r>
      <w:r w:rsidRPr="00111748">
        <w:rPr>
          <w:rStyle w:val="Zdraznnjemn"/>
          <w:rFonts w:ascii="Calibri" w:hAnsi="Calibri" w:cs="Calibri"/>
          <w:i w:val="0"/>
          <w:iCs w:val="0"/>
        </w:rPr>
        <w:t xml:space="preserve">bude povzbuzovat </w:t>
      </w:r>
      <w:r>
        <w:rPr>
          <w:rStyle w:val="Zdraznnjemn"/>
          <w:rFonts w:ascii="Calibri" w:hAnsi="Calibri" w:cs="Calibri"/>
          <w:i w:val="0"/>
          <w:iCs w:val="0"/>
        </w:rPr>
        <w:t>v</w:t>
      </w:r>
      <w:r w:rsidRPr="00111748">
        <w:rPr>
          <w:rStyle w:val="Zdraznnjemn"/>
          <w:rFonts w:ascii="Calibri" w:hAnsi="Calibri" w:cs="Calibri"/>
          <w:i w:val="0"/>
          <w:iCs w:val="0"/>
        </w:rPr>
        <w:t>yužívání CEF [Q2 / 2018];</w:t>
      </w:r>
    </w:p>
    <w:p w:rsidR="005942E7" w:rsidRDefault="005942E7" w:rsidP="00B6003D">
      <w:pPr>
        <w:pStyle w:val="Odstavecseseznamem"/>
        <w:numPr>
          <w:ilvl w:val="0"/>
          <w:numId w:val="10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111748">
        <w:rPr>
          <w:rStyle w:val="Zdraznnjemn"/>
          <w:rFonts w:ascii="Calibri" w:hAnsi="Calibri" w:cs="Calibri"/>
          <w:i w:val="0"/>
          <w:iCs w:val="0"/>
        </w:rPr>
        <w:t>zefektivní a posílí podporu financování činností v oblasti bezpečnosti silničního provozu v příštím MFF (víceletém rozpočtu) s ohledem na komplementaritu různých finančních nástroj</w:t>
      </w:r>
      <w:r>
        <w:rPr>
          <w:rStyle w:val="Zdraznnjemn"/>
          <w:rFonts w:ascii="Calibri" w:hAnsi="Calibri" w:cs="Calibri"/>
          <w:i w:val="0"/>
          <w:iCs w:val="0"/>
        </w:rPr>
        <w:t>ů</w:t>
      </w:r>
      <w:r w:rsidRPr="00111748">
        <w:rPr>
          <w:rStyle w:val="Zdraznnjemn"/>
          <w:rFonts w:ascii="Calibri" w:hAnsi="Calibri" w:cs="Calibri"/>
          <w:i w:val="0"/>
          <w:iCs w:val="0"/>
        </w:rPr>
        <w:t xml:space="preserve"> [Q2 / 2018];</w:t>
      </w:r>
    </w:p>
    <w:p w:rsidR="005942E7" w:rsidRDefault="005942E7" w:rsidP="00B6003D">
      <w:pPr>
        <w:pStyle w:val="Odstavecseseznamem"/>
        <w:numPr>
          <w:ilvl w:val="0"/>
          <w:numId w:val="10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9A4DD4">
        <w:rPr>
          <w:rStyle w:val="Zdraznnjemn"/>
          <w:rFonts w:ascii="Calibri" w:hAnsi="Calibri" w:cs="Calibri"/>
          <w:i w:val="0"/>
          <w:iCs w:val="0"/>
        </w:rPr>
        <w:t>prozkoumá možnosti finanční podpory budování kapacit na úrovni členských států; například týkající se strategií</w:t>
      </w:r>
      <w:r>
        <w:rPr>
          <w:rStyle w:val="Zdraznnjemn"/>
          <w:rFonts w:ascii="Calibri" w:hAnsi="Calibri" w:cs="Calibri"/>
          <w:i w:val="0"/>
          <w:iCs w:val="0"/>
        </w:rPr>
        <w:t xml:space="preserve"> „Safe systém“</w:t>
      </w:r>
      <w:r w:rsidRPr="009A4DD4">
        <w:rPr>
          <w:rStyle w:val="Zdraznnjemn"/>
          <w:rFonts w:ascii="Calibri" w:hAnsi="Calibri" w:cs="Calibri"/>
          <w:i w:val="0"/>
          <w:iCs w:val="0"/>
        </w:rPr>
        <w:t xml:space="preserve"> [Q3 / 2019]</w:t>
      </w:r>
      <w:r>
        <w:rPr>
          <w:rStyle w:val="Zdraznnjemn"/>
          <w:rFonts w:ascii="Calibri" w:hAnsi="Calibri" w:cs="Calibri"/>
          <w:i w:val="0"/>
          <w:iCs w:val="0"/>
        </w:rPr>
        <w:t>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>
        <w:rPr>
          <w:rStyle w:val="Zdraznnjemn"/>
          <w:rFonts w:ascii="Calibri" w:hAnsi="Calibri" w:cs="Calibri"/>
          <w:i w:val="0"/>
          <w:iCs w:val="0"/>
        </w:rPr>
        <w:t xml:space="preserve">Komise také bude zkoumat, jak zajistit financování výzkumu a jak </w:t>
      </w:r>
      <w:r w:rsidRPr="009A4DD4">
        <w:rPr>
          <w:rStyle w:val="Zdraznnjemn"/>
          <w:rFonts w:ascii="Calibri" w:hAnsi="Calibri" w:cs="Calibri"/>
          <w:i w:val="0"/>
          <w:iCs w:val="0"/>
        </w:rPr>
        <w:t>usnadnit veřejným orgánům přístup k</w:t>
      </w:r>
      <w:r>
        <w:rPr>
          <w:rStyle w:val="Zdraznnjemn"/>
          <w:rFonts w:ascii="Calibri" w:hAnsi="Calibri" w:cs="Calibri"/>
          <w:i w:val="0"/>
          <w:iCs w:val="0"/>
        </w:rPr>
        <w:t> </w:t>
      </w:r>
      <w:r w:rsidRPr="009A4DD4">
        <w:rPr>
          <w:rStyle w:val="Zdraznnjemn"/>
          <w:rFonts w:ascii="Calibri" w:hAnsi="Calibri" w:cs="Calibri"/>
          <w:i w:val="0"/>
          <w:iCs w:val="0"/>
        </w:rPr>
        <w:t>odpovídající finanční podpoře při zajišťování bezpečnější</w:t>
      </w:r>
      <w:r>
        <w:rPr>
          <w:rStyle w:val="Zdraznnjemn"/>
          <w:rFonts w:ascii="Calibri" w:hAnsi="Calibri" w:cs="Calibri"/>
          <w:i w:val="0"/>
          <w:iCs w:val="0"/>
        </w:rPr>
        <w:t>ho vozového parku.</w:t>
      </w:r>
    </w:p>
    <w:p w:rsidR="005942E7" w:rsidRPr="009A4DD4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DC455E">
        <w:rPr>
          <w:rStyle w:val="Zdraznnjemn"/>
          <w:rFonts w:ascii="Calibri" w:hAnsi="Calibri" w:cs="Calibri"/>
          <w:b/>
          <w:iCs w:val="0"/>
          <w:u w:val="single"/>
        </w:rPr>
        <w:t>Bezpečné cesty</w:t>
      </w:r>
      <w:r>
        <w:rPr>
          <w:rStyle w:val="Zdraznnjemn"/>
          <w:rFonts w:ascii="Calibri" w:hAnsi="Calibri" w:cs="Calibri"/>
          <w:b/>
          <w:iCs w:val="0"/>
        </w:rPr>
        <w:t xml:space="preserve"> - </w:t>
      </w:r>
      <w:r w:rsidRPr="009A4DD4">
        <w:rPr>
          <w:rStyle w:val="Zdraznnjemn"/>
          <w:rFonts w:ascii="Calibri" w:hAnsi="Calibri" w:cs="Calibri"/>
          <w:i w:val="0"/>
          <w:iCs w:val="0"/>
        </w:rPr>
        <w:t>Komise</w:t>
      </w:r>
      <w:r>
        <w:rPr>
          <w:rStyle w:val="Zdraznnjemn"/>
          <w:rFonts w:ascii="Calibri" w:hAnsi="Calibri" w:cs="Calibri"/>
          <w:i w:val="0"/>
          <w:iCs w:val="0"/>
        </w:rPr>
        <w:t xml:space="preserve"> mimo jiné</w:t>
      </w:r>
      <w:r w:rsidRPr="009A4DD4">
        <w:rPr>
          <w:rStyle w:val="Zdraznnjemn"/>
          <w:rFonts w:ascii="Calibri" w:hAnsi="Calibri" w:cs="Calibri"/>
          <w:i w:val="0"/>
          <w:iCs w:val="0"/>
        </w:rPr>
        <w:t>:</w:t>
      </w:r>
    </w:p>
    <w:p w:rsidR="005942E7" w:rsidRDefault="005942E7" w:rsidP="005942E7">
      <w:pPr>
        <w:pStyle w:val="Odstavecseseznamem"/>
        <w:numPr>
          <w:ilvl w:val="0"/>
          <w:numId w:val="1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9A4DD4">
        <w:rPr>
          <w:rStyle w:val="Zdraznnjemn"/>
          <w:rFonts w:ascii="Calibri" w:hAnsi="Calibri" w:cs="Calibri"/>
          <w:i w:val="0"/>
          <w:iCs w:val="0"/>
        </w:rPr>
        <w:t>zříd</w:t>
      </w:r>
      <w:r>
        <w:rPr>
          <w:rStyle w:val="Zdraznnjemn"/>
          <w:rFonts w:ascii="Calibri" w:hAnsi="Calibri" w:cs="Calibri"/>
          <w:i w:val="0"/>
          <w:iCs w:val="0"/>
        </w:rPr>
        <w:t>í</w:t>
      </w:r>
      <w:r w:rsidRPr="009A4DD4">
        <w:rPr>
          <w:rStyle w:val="Zdraznnjemn"/>
          <w:rFonts w:ascii="Calibri" w:hAnsi="Calibri" w:cs="Calibri"/>
          <w:i w:val="0"/>
          <w:iCs w:val="0"/>
        </w:rPr>
        <w:t xml:space="preserve"> skupinu odborníků, jejímž úkolem bude vypracovat rámec pro klasifikaci silnic, který </w:t>
      </w:r>
      <w:r>
        <w:rPr>
          <w:rStyle w:val="Zdraznnjemn"/>
          <w:rFonts w:ascii="Calibri" w:hAnsi="Calibri" w:cs="Calibri"/>
          <w:i w:val="0"/>
          <w:iCs w:val="0"/>
        </w:rPr>
        <w:t xml:space="preserve">bude </w:t>
      </w:r>
      <w:r w:rsidRPr="009A4DD4">
        <w:rPr>
          <w:rStyle w:val="Zdraznnjemn"/>
          <w:rFonts w:ascii="Calibri" w:hAnsi="Calibri" w:cs="Calibri"/>
          <w:i w:val="0"/>
          <w:iCs w:val="0"/>
        </w:rPr>
        <w:t>lépe odpovíd</w:t>
      </w:r>
      <w:r>
        <w:rPr>
          <w:rStyle w:val="Zdraznnjemn"/>
          <w:rFonts w:ascii="Calibri" w:hAnsi="Calibri" w:cs="Calibri"/>
          <w:i w:val="0"/>
          <w:iCs w:val="0"/>
        </w:rPr>
        <w:t>at</w:t>
      </w:r>
      <w:r w:rsidRPr="009A4DD4">
        <w:rPr>
          <w:rStyle w:val="Zdraznnjemn"/>
          <w:rFonts w:ascii="Calibri" w:hAnsi="Calibri" w:cs="Calibri"/>
          <w:i w:val="0"/>
          <w:iCs w:val="0"/>
        </w:rPr>
        <w:t xml:space="preserve"> rychlost</w:t>
      </w:r>
      <w:r>
        <w:rPr>
          <w:rStyle w:val="Zdraznnjemn"/>
          <w:rFonts w:ascii="Calibri" w:hAnsi="Calibri" w:cs="Calibri"/>
          <w:i w:val="0"/>
          <w:iCs w:val="0"/>
        </w:rPr>
        <w:t>ním limitům, aby silnice byly lépe navrženy a uspořádány v </w:t>
      </w:r>
      <w:r w:rsidRPr="009A4DD4">
        <w:rPr>
          <w:rStyle w:val="Zdraznnjemn"/>
          <w:rFonts w:ascii="Calibri" w:hAnsi="Calibri" w:cs="Calibri"/>
          <w:i w:val="0"/>
          <w:iCs w:val="0"/>
        </w:rPr>
        <w:t>s</w:t>
      </w:r>
      <w:r>
        <w:rPr>
          <w:rStyle w:val="Zdraznnjemn"/>
          <w:rFonts w:ascii="Calibri" w:hAnsi="Calibri" w:cs="Calibri"/>
          <w:i w:val="0"/>
          <w:iCs w:val="0"/>
        </w:rPr>
        <w:t>ouladu s</w:t>
      </w:r>
      <w:r w:rsidRPr="009A4DD4">
        <w:rPr>
          <w:rStyle w:val="Zdraznnjemn"/>
          <w:rFonts w:ascii="Calibri" w:hAnsi="Calibri" w:cs="Calibri"/>
          <w:i w:val="0"/>
          <w:iCs w:val="0"/>
        </w:rPr>
        <w:t xml:space="preserve"> přístupem </w:t>
      </w:r>
      <w:r>
        <w:rPr>
          <w:rStyle w:val="Zdraznnjemn"/>
          <w:rFonts w:ascii="Calibri" w:hAnsi="Calibri" w:cs="Calibri"/>
          <w:i w:val="0"/>
          <w:iCs w:val="0"/>
        </w:rPr>
        <w:t>„</w:t>
      </w:r>
      <w:r w:rsidRPr="009A4DD4">
        <w:rPr>
          <w:rStyle w:val="Zdraznnjemn"/>
          <w:rFonts w:ascii="Calibri" w:hAnsi="Calibri" w:cs="Calibri"/>
          <w:i w:val="0"/>
          <w:iCs w:val="0"/>
        </w:rPr>
        <w:t xml:space="preserve">Safe </w:t>
      </w:r>
      <w:r>
        <w:rPr>
          <w:rStyle w:val="Zdraznnjemn"/>
          <w:rFonts w:ascii="Calibri" w:hAnsi="Calibri" w:cs="Calibri"/>
          <w:i w:val="0"/>
          <w:iCs w:val="0"/>
        </w:rPr>
        <w:t>System“</w:t>
      </w:r>
      <w:r w:rsidRPr="009A4DD4">
        <w:rPr>
          <w:rStyle w:val="Zdraznnjemn"/>
          <w:rFonts w:ascii="Calibri" w:hAnsi="Calibri" w:cs="Calibri"/>
          <w:i w:val="0"/>
          <w:iCs w:val="0"/>
        </w:rPr>
        <w:t xml:space="preserve"> [Q3 / 2019]</w:t>
      </w:r>
      <w:r>
        <w:rPr>
          <w:rStyle w:val="Zdraznnjemn"/>
          <w:rFonts w:ascii="Calibri" w:hAnsi="Calibri" w:cs="Calibri"/>
          <w:i w:val="0"/>
          <w:iCs w:val="0"/>
        </w:rPr>
        <w:t>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9A4DD4">
        <w:rPr>
          <w:rStyle w:val="Zdraznnjemn"/>
          <w:rFonts w:ascii="Calibri" w:hAnsi="Calibri" w:cs="Calibri"/>
          <w:i w:val="0"/>
          <w:iCs w:val="0"/>
        </w:rPr>
        <w:t>Během rámcového období se Komise bude snažit identifikovat další opatření EU, jako je definování konkrétních</w:t>
      </w:r>
      <w:r>
        <w:rPr>
          <w:rStyle w:val="Zdraznnjemn"/>
          <w:rFonts w:ascii="Calibri" w:hAnsi="Calibri" w:cs="Calibri"/>
          <w:i w:val="0"/>
          <w:iCs w:val="0"/>
        </w:rPr>
        <w:t xml:space="preserve"> bezpečnostních</w:t>
      </w:r>
      <w:r w:rsidRPr="009A4DD4">
        <w:rPr>
          <w:rStyle w:val="Zdraznnjemn"/>
          <w:rFonts w:ascii="Calibri" w:hAnsi="Calibri" w:cs="Calibri"/>
          <w:i w:val="0"/>
          <w:iCs w:val="0"/>
        </w:rPr>
        <w:t xml:space="preserve"> cílů pro silnice </w:t>
      </w:r>
      <w:r>
        <w:rPr>
          <w:rStyle w:val="Zdraznnjemn"/>
          <w:rFonts w:ascii="Calibri" w:hAnsi="Calibri" w:cs="Calibri"/>
          <w:i w:val="0"/>
          <w:iCs w:val="0"/>
        </w:rPr>
        <w:t>TEN-T</w:t>
      </w:r>
      <w:r w:rsidRPr="009A4DD4">
        <w:rPr>
          <w:rStyle w:val="Zdraznnjemn"/>
          <w:rFonts w:ascii="Calibri" w:hAnsi="Calibri" w:cs="Calibri"/>
          <w:i w:val="0"/>
          <w:iCs w:val="0"/>
        </w:rPr>
        <w:t xml:space="preserve"> p</w:t>
      </w:r>
      <w:r>
        <w:rPr>
          <w:rStyle w:val="Zdraznnjemn"/>
          <w:rFonts w:ascii="Calibri" w:hAnsi="Calibri" w:cs="Calibri"/>
          <w:i w:val="0"/>
          <w:iCs w:val="0"/>
        </w:rPr>
        <w:t>ro</w:t>
      </w:r>
      <w:r w:rsidRPr="009A4DD4">
        <w:rPr>
          <w:rStyle w:val="Zdraznnjemn"/>
          <w:rFonts w:ascii="Calibri" w:hAnsi="Calibri" w:cs="Calibri"/>
          <w:i w:val="0"/>
          <w:iCs w:val="0"/>
        </w:rPr>
        <w:t xml:space="preserve"> příští revizi </w:t>
      </w:r>
      <w:r>
        <w:rPr>
          <w:rStyle w:val="Zdraznnjemn"/>
          <w:rFonts w:ascii="Calibri" w:hAnsi="Calibri" w:cs="Calibri"/>
          <w:i w:val="0"/>
          <w:iCs w:val="0"/>
        </w:rPr>
        <w:t>pokynů a metodik k TEN-T komunikacím</w:t>
      </w:r>
      <w:r w:rsidRPr="009A4DD4">
        <w:rPr>
          <w:rStyle w:val="Zdraznnjemn"/>
          <w:rFonts w:ascii="Calibri" w:hAnsi="Calibri" w:cs="Calibri"/>
          <w:i w:val="0"/>
          <w:iCs w:val="0"/>
        </w:rPr>
        <w:t>.</w:t>
      </w:r>
    </w:p>
    <w:p w:rsidR="005942E7" w:rsidRPr="009A4DD4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DC455E">
        <w:rPr>
          <w:rStyle w:val="Zdraznnjemn"/>
          <w:rFonts w:ascii="Calibri" w:hAnsi="Calibri" w:cs="Calibri"/>
          <w:b/>
          <w:iCs w:val="0"/>
          <w:u w:val="single"/>
        </w:rPr>
        <w:t>Bezpečná vozidla</w:t>
      </w:r>
      <w:r>
        <w:rPr>
          <w:rStyle w:val="Zdraznnjemn"/>
          <w:rFonts w:ascii="Calibri" w:hAnsi="Calibri" w:cs="Calibri"/>
          <w:b/>
          <w:iCs w:val="0"/>
        </w:rPr>
        <w:t xml:space="preserve"> - </w:t>
      </w:r>
      <w:r w:rsidRPr="009A4DD4">
        <w:rPr>
          <w:rStyle w:val="Zdraznnjemn"/>
          <w:rFonts w:ascii="Calibri" w:hAnsi="Calibri" w:cs="Calibri"/>
          <w:i w:val="0"/>
          <w:iCs w:val="0"/>
        </w:rPr>
        <w:t>Komise</w:t>
      </w:r>
      <w:r>
        <w:rPr>
          <w:rStyle w:val="Zdraznnjemn"/>
          <w:rFonts w:ascii="Calibri" w:hAnsi="Calibri" w:cs="Calibri"/>
          <w:i w:val="0"/>
          <w:iCs w:val="0"/>
        </w:rPr>
        <w:t xml:space="preserve"> mimo jiné</w:t>
      </w:r>
      <w:r w:rsidRPr="009A4DD4">
        <w:rPr>
          <w:rStyle w:val="Zdraznnjemn"/>
          <w:rFonts w:ascii="Calibri" w:hAnsi="Calibri" w:cs="Calibri"/>
          <w:i w:val="0"/>
          <w:iCs w:val="0"/>
        </w:rPr>
        <w:t>:</w:t>
      </w:r>
    </w:p>
    <w:p w:rsidR="005942E7" w:rsidRDefault="005942E7" w:rsidP="00072B37">
      <w:pPr>
        <w:pStyle w:val="Odstavecseseznamem"/>
        <w:numPr>
          <w:ilvl w:val="0"/>
          <w:numId w:val="1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072B37">
        <w:rPr>
          <w:rStyle w:val="Zdraznnjemn"/>
          <w:rFonts w:ascii="Calibri" w:hAnsi="Calibri" w:cs="Calibri"/>
          <w:i w:val="0"/>
          <w:iCs w:val="0"/>
        </w:rPr>
        <w:t>začne posuzovat proveditelnost a nákladovou efektivnost dodatečného vybavení stávajícího vozového parku (zejm. autobusů a HDV) pokročilými systémy podpory řízení ADAS [Q4 / 2018]; a</w:t>
      </w:r>
    </w:p>
    <w:p w:rsidR="005942E7" w:rsidRPr="00072B37" w:rsidRDefault="005942E7" w:rsidP="00072B37">
      <w:pPr>
        <w:pStyle w:val="Odstavecseseznamem"/>
        <w:numPr>
          <w:ilvl w:val="0"/>
          <w:numId w:val="1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072B37">
        <w:rPr>
          <w:rStyle w:val="Zdraznnjemn"/>
          <w:rFonts w:ascii="Calibri" w:hAnsi="Calibri" w:cs="Calibri"/>
          <w:i w:val="0"/>
          <w:iCs w:val="0"/>
        </w:rPr>
        <w:t>povzbudí členské státy, aby při zachování hospodářské soutěže na vnitřním trhu zvážily pobídky k urychlení zavádění osvědčených technologií prostřednictvím řady nástrojů, [Q2 / 2018].</w:t>
      </w:r>
    </w:p>
    <w:p w:rsidR="005942E7" w:rsidRPr="00960108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960108">
        <w:rPr>
          <w:rStyle w:val="Zdraznnjemn"/>
          <w:rFonts w:ascii="Calibri" w:hAnsi="Calibri" w:cs="Calibri"/>
          <w:i w:val="0"/>
          <w:iCs w:val="0"/>
        </w:rPr>
        <w:t xml:space="preserve">Komise bude hledat dobrovolné závazky, například </w:t>
      </w:r>
      <w:r>
        <w:rPr>
          <w:rStyle w:val="Zdraznnjemn"/>
          <w:rFonts w:ascii="Calibri" w:hAnsi="Calibri" w:cs="Calibri"/>
          <w:i w:val="0"/>
          <w:iCs w:val="0"/>
        </w:rPr>
        <w:t>u:</w:t>
      </w:r>
    </w:p>
    <w:p w:rsidR="005942E7" w:rsidRPr="00DC455E" w:rsidRDefault="005942E7" w:rsidP="00B6003D">
      <w:pPr>
        <w:pStyle w:val="Odstavecseseznamem"/>
        <w:numPr>
          <w:ilvl w:val="0"/>
          <w:numId w:val="11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DC455E">
        <w:rPr>
          <w:rStyle w:val="Zdraznnjemn"/>
          <w:rFonts w:ascii="Calibri" w:hAnsi="Calibri" w:cs="Calibri"/>
          <w:i w:val="0"/>
          <w:iCs w:val="0"/>
        </w:rPr>
        <w:t>zaměstnavatelů/sdružení silničních dopravců (např. používání vozidel s</w:t>
      </w:r>
      <w:r>
        <w:rPr>
          <w:rStyle w:val="Zdraznnjemn"/>
          <w:rFonts w:ascii="Calibri" w:hAnsi="Calibri" w:cs="Calibri"/>
          <w:i w:val="0"/>
          <w:iCs w:val="0"/>
        </w:rPr>
        <w:t xml:space="preserve"> ještě nepovinnými </w:t>
      </w:r>
      <w:r w:rsidRPr="00DC455E">
        <w:rPr>
          <w:rStyle w:val="Zdraznnjemn"/>
          <w:rFonts w:ascii="Calibri" w:hAnsi="Calibri" w:cs="Calibri"/>
          <w:i w:val="0"/>
          <w:iCs w:val="0"/>
        </w:rPr>
        <w:t>nejnovějšími bezpečnostními prvky); veřejných orgánů (např. města</w:t>
      </w:r>
      <w:r>
        <w:rPr>
          <w:rStyle w:val="Zdraznnjemn"/>
          <w:rFonts w:ascii="Calibri" w:hAnsi="Calibri" w:cs="Calibri"/>
          <w:i w:val="0"/>
          <w:iCs w:val="0"/>
        </w:rPr>
        <w:t xml:space="preserve"> </w:t>
      </w:r>
      <w:r w:rsidRPr="00DC455E">
        <w:rPr>
          <w:rStyle w:val="Zdraznnjemn"/>
          <w:rFonts w:ascii="Calibri" w:hAnsi="Calibri" w:cs="Calibri"/>
          <w:i w:val="0"/>
          <w:iCs w:val="0"/>
        </w:rPr>
        <w:t>upřednostňují</w:t>
      </w:r>
      <w:r>
        <w:rPr>
          <w:rStyle w:val="Zdraznnjemn"/>
          <w:rFonts w:ascii="Calibri" w:hAnsi="Calibri" w:cs="Calibri"/>
          <w:i w:val="0"/>
          <w:iCs w:val="0"/>
        </w:rPr>
        <w:t>cí</w:t>
      </w:r>
      <w:r w:rsidRPr="00DC455E">
        <w:rPr>
          <w:rStyle w:val="Zdraznnjemn"/>
          <w:rFonts w:ascii="Calibri" w:hAnsi="Calibri" w:cs="Calibri"/>
          <w:i w:val="0"/>
          <w:iCs w:val="0"/>
        </w:rPr>
        <w:t xml:space="preserve"> nákup nejbezpečnějších</w:t>
      </w:r>
      <w:r>
        <w:rPr>
          <w:rStyle w:val="Zdraznnjemn"/>
          <w:rFonts w:ascii="Calibri" w:hAnsi="Calibri" w:cs="Calibri"/>
          <w:i w:val="0"/>
          <w:iCs w:val="0"/>
        </w:rPr>
        <w:t xml:space="preserve"> </w:t>
      </w:r>
      <w:r w:rsidRPr="00DC455E">
        <w:rPr>
          <w:rStyle w:val="Zdraznnjemn"/>
          <w:rFonts w:ascii="Calibri" w:hAnsi="Calibri" w:cs="Calibri"/>
          <w:i w:val="0"/>
          <w:iCs w:val="0"/>
        </w:rPr>
        <w:t xml:space="preserve">vozů); výrobců (např. zavedení </w:t>
      </w:r>
      <w:r w:rsidR="00072B37">
        <w:rPr>
          <w:rStyle w:val="Zdraznnjemn"/>
          <w:rFonts w:ascii="Calibri" w:hAnsi="Calibri" w:cs="Calibri"/>
          <w:i w:val="0"/>
          <w:iCs w:val="0"/>
        </w:rPr>
        <w:t xml:space="preserve">nepovinných </w:t>
      </w:r>
      <w:r w:rsidRPr="00DC455E">
        <w:rPr>
          <w:rStyle w:val="Zdraznnjemn"/>
          <w:rFonts w:ascii="Calibri" w:hAnsi="Calibri" w:cs="Calibri"/>
          <w:i w:val="0"/>
          <w:iCs w:val="0"/>
        </w:rPr>
        <w:t xml:space="preserve">bezpečnostních prvků pro všechny </w:t>
      </w:r>
      <w:r w:rsidR="00522E8E">
        <w:rPr>
          <w:rStyle w:val="Zdraznnjemn"/>
          <w:rFonts w:ascii="Calibri" w:hAnsi="Calibri" w:cs="Calibri"/>
          <w:i w:val="0"/>
          <w:iCs w:val="0"/>
        </w:rPr>
        <w:t>výbavy</w:t>
      </w:r>
      <w:r w:rsidRPr="00DC455E">
        <w:rPr>
          <w:rStyle w:val="Zdraznnjemn"/>
          <w:rFonts w:ascii="Calibri" w:hAnsi="Calibri" w:cs="Calibri"/>
          <w:i w:val="0"/>
          <w:iCs w:val="0"/>
        </w:rPr>
        <w:t xml:space="preserve">); pojišťoven (např. změna pojistného ve prospěch bezpečnějších vozidel); sektoru půjčoven </w:t>
      </w:r>
      <w:r>
        <w:rPr>
          <w:rStyle w:val="Zdraznnjemn"/>
          <w:rFonts w:ascii="Calibri" w:hAnsi="Calibri" w:cs="Calibri"/>
          <w:i w:val="0"/>
          <w:iCs w:val="0"/>
        </w:rPr>
        <w:lastRenderedPageBreak/>
        <w:t xml:space="preserve">vozů </w:t>
      </w:r>
      <w:r w:rsidRPr="00DC455E">
        <w:rPr>
          <w:rStyle w:val="Zdraznnjemn"/>
          <w:rFonts w:ascii="Calibri" w:hAnsi="Calibri" w:cs="Calibri"/>
          <w:i w:val="0"/>
          <w:iCs w:val="0"/>
        </w:rPr>
        <w:t xml:space="preserve">a </w:t>
      </w:r>
      <w:r>
        <w:rPr>
          <w:rStyle w:val="Zdraznnjemn"/>
          <w:rFonts w:ascii="Calibri" w:hAnsi="Calibri" w:cs="Calibri"/>
          <w:i w:val="0"/>
          <w:iCs w:val="0"/>
        </w:rPr>
        <w:t xml:space="preserve">jejich </w:t>
      </w:r>
      <w:r w:rsidRPr="00DC455E">
        <w:rPr>
          <w:rStyle w:val="Zdraznnjemn"/>
          <w:rFonts w:ascii="Calibri" w:hAnsi="Calibri" w:cs="Calibri"/>
          <w:i w:val="0"/>
          <w:iCs w:val="0"/>
        </w:rPr>
        <w:t xml:space="preserve">sdílení (např. podpora bezpečných automobilů při půjčení a leasingu, pravidelná údržba) a autoškol (např. školení řidičů o </w:t>
      </w:r>
      <w:r w:rsidR="00522E8E">
        <w:rPr>
          <w:rStyle w:val="Zdraznnjemn"/>
          <w:rFonts w:ascii="Calibri" w:hAnsi="Calibri" w:cs="Calibri"/>
          <w:i w:val="0"/>
          <w:iCs w:val="0"/>
        </w:rPr>
        <w:t>používání</w:t>
      </w:r>
      <w:r w:rsidRPr="00DC455E">
        <w:rPr>
          <w:rStyle w:val="Zdraznnjemn"/>
          <w:rFonts w:ascii="Calibri" w:hAnsi="Calibri" w:cs="Calibri"/>
          <w:i w:val="0"/>
          <w:iCs w:val="0"/>
        </w:rPr>
        <w:t xml:space="preserve"> nov</w:t>
      </w:r>
      <w:r w:rsidR="00522E8E">
        <w:rPr>
          <w:rStyle w:val="Zdraznnjemn"/>
          <w:rFonts w:ascii="Calibri" w:hAnsi="Calibri" w:cs="Calibri"/>
          <w:i w:val="0"/>
          <w:iCs w:val="0"/>
        </w:rPr>
        <w:t>ých</w:t>
      </w:r>
      <w:r w:rsidRPr="00DC455E">
        <w:rPr>
          <w:rStyle w:val="Zdraznnjemn"/>
          <w:rFonts w:ascii="Calibri" w:hAnsi="Calibri" w:cs="Calibri"/>
          <w:i w:val="0"/>
          <w:iCs w:val="0"/>
        </w:rPr>
        <w:t xml:space="preserve"> bezpečnostní</w:t>
      </w:r>
      <w:r w:rsidR="00522E8E">
        <w:rPr>
          <w:rStyle w:val="Zdraznnjemn"/>
          <w:rFonts w:ascii="Calibri" w:hAnsi="Calibri" w:cs="Calibri"/>
          <w:i w:val="0"/>
          <w:iCs w:val="0"/>
        </w:rPr>
        <w:t>ch</w:t>
      </w:r>
      <w:r w:rsidRPr="00DC455E">
        <w:rPr>
          <w:rStyle w:val="Zdraznnjemn"/>
          <w:rFonts w:ascii="Calibri" w:hAnsi="Calibri" w:cs="Calibri"/>
          <w:i w:val="0"/>
          <w:iCs w:val="0"/>
        </w:rPr>
        <w:t xml:space="preserve"> prvk</w:t>
      </w:r>
      <w:r w:rsidR="00522E8E">
        <w:rPr>
          <w:rStyle w:val="Zdraznnjemn"/>
          <w:rFonts w:ascii="Calibri" w:hAnsi="Calibri" w:cs="Calibri"/>
          <w:i w:val="0"/>
          <w:iCs w:val="0"/>
        </w:rPr>
        <w:t>ů</w:t>
      </w:r>
      <w:r w:rsidRPr="00DC455E">
        <w:rPr>
          <w:rStyle w:val="Zdraznnjemn"/>
          <w:rFonts w:ascii="Calibri" w:hAnsi="Calibri" w:cs="Calibri"/>
          <w:i w:val="0"/>
          <w:iCs w:val="0"/>
        </w:rPr>
        <w:t xml:space="preserve"> vozidel).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CC6405">
        <w:rPr>
          <w:rStyle w:val="shorttext"/>
          <w:b/>
          <w:i/>
          <w:color w:val="404040" w:themeColor="text1" w:themeTint="BF"/>
          <w:u w:val="single"/>
        </w:rPr>
        <w:t>Rychlá a účinná reakce na nouzové situace</w:t>
      </w:r>
      <w:r>
        <w:rPr>
          <w:rStyle w:val="shorttext"/>
          <w:b/>
          <w:i/>
          <w:color w:val="404040" w:themeColor="text1" w:themeTint="BF"/>
        </w:rPr>
        <w:t xml:space="preserve"> - </w:t>
      </w:r>
      <w:r w:rsidRPr="004677D8">
        <w:rPr>
          <w:rStyle w:val="Zdraznnjemn"/>
          <w:rFonts w:ascii="Calibri" w:hAnsi="Calibri" w:cs="Calibri"/>
          <w:i w:val="0"/>
          <w:iCs w:val="0"/>
        </w:rPr>
        <w:t>Komise</w:t>
      </w:r>
      <w:r>
        <w:rPr>
          <w:rStyle w:val="Zdraznnjemn"/>
          <w:rFonts w:ascii="Calibri" w:hAnsi="Calibri" w:cs="Calibri"/>
          <w:i w:val="0"/>
          <w:iCs w:val="0"/>
        </w:rPr>
        <w:t xml:space="preserve"> mimo jiné</w:t>
      </w:r>
      <w:r w:rsidRPr="004677D8">
        <w:rPr>
          <w:rStyle w:val="Zdraznnjemn"/>
          <w:rFonts w:ascii="Calibri" w:hAnsi="Calibri" w:cs="Calibri"/>
          <w:i w:val="0"/>
          <w:iCs w:val="0"/>
        </w:rPr>
        <w:t>:</w:t>
      </w:r>
    </w:p>
    <w:p w:rsidR="005942E7" w:rsidRDefault="005942E7" w:rsidP="00B6003D">
      <w:pPr>
        <w:pStyle w:val="Odstavecseseznamem"/>
        <w:numPr>
          <w:ilvl w:val="0"/>
          <w:numId w:val="12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4677D8">
        <w:rPr>
          <w:rStyle w:val="Zdraznnjemn"/>
          <w:rFonts w:ascii="Calibri" w:hAnsi="Calibri" w:cs="Calibri"/>
          <w:i w:val="0"/>
          <w:iCs w:val="0"/>
        </w:rPr>
        <w:t>zaháj</w:t>
      </w:r>
      <w:r>
        <w:rPr>
          <w:rStyle w:val="Zdraznnjemn"/>
          <w:rFonts w:ascii="Calibri" w:hAnsi="Calibri" w:cs="Calibri"/>
          <w:i w:val="0"/>
          <w:iCs w:val="0"/>
        </w:rPr>
        <w:t>í</w:t>
      </w:r>
      <w:r w:rsidRPr="004677D8">
        <w:rPr>
          <w:rStyle w:val="Zdraznnjemn"/>
          <w:rFonts w:ascii="Calibri" w:hAnsi="Calibri" w:cs="Calibri"/>
          <w:i w:val="0"/>
          <w:iCs w:val="0"/>
        </w:rPr>
        <w:t xml:space="preserve"> hodnocení dopad</w:t>
      </w:r>
      <w:r>
        <w:rPr>
          <w:rStyle w:val="Zdraznnjemn"/>
          <w:rFonts w:ascii="Calibri" w:hAnsi="Calibri" w:cs="Calibri"/>
          <w:i w:val="0"/>
          <w:iCs w:val="0"/>
        </w:rPr>
        <w:t>ů zavedení</w:t>
      </w:r>
      <w:r w:rsidRPr="004677D8">
        <w:rPr>
          <w:rStyle w:val="Zdraznnjemn"/>
          <w:rFonts w:ascii="Calibri" w:hAnsi="Calibri" w:cs="Calibri"/>
          <w:i w:val="0"/>
          <w:iCs w:val="0"/>
        </w:rPr>
        <w:t xml:space="preserve"> systému eCall a vyhodnot</w:t>
      </w:r>
      <w:r>
        <w:rPr>
          <w:rStyle w:val="Zdraznnjemn"/>
          <w:rFonts w:ascii="Calibri" w:hAnsi="Calibri" w:cs="Calibri"/>
          <w:i w:val="0"/>
          <w:iCs w:val="0"/>
        </w:rPr>
        <w:t>í</w:t>
      </w:r>
      <w:r w:rsidRPr="004677D8">
        <w:rPr>
          <w:rStyle w:val="Zdraznnjemn"/>
          <w:rFonts w:ascii="Calibri" w:hAnsi="Calibri" w:cs="Calibri"/>
          <w:i w:val="0"/>
          <w:iCs w:val="0"/>
        </w:rPr>
        <w:t xml:space="preserve"> jeho možné rozšíření na další kategorie vozidel (</w:t>
      </w:r>
      <w:r>
        <w:rPr>
          <w:rStyle w:val="Zdraznnjemn"/>
          <w:rFonts w:ascii="Calibri" w:hAnsi="Calibri" w:cs="Calibri"/>
          <w:i w:val="0"/>
          <w:iCs w:val="0"/>
        </w:rPr>
        <w:t>HDV</w:t>
      </w:r>
      <w:r w:rsidRPr="004677D8">
        <w:rPr>
          <w:rStyle w:val="Zdraznnjemn"/>
          <w:rFonts w:ascii="Calibri" w:hAnsi="Calibri" w:cs="Calibri"/>
          <w:i w:val="0"/>
          <w:iCs w:val="0"/>
        </w:rPr>
        <w:t>, motocykly a zemědělské traktory) [Q3 / 2019] a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4874A2">
        <w:rPr>
          <w:rStyle w:val="Zdraznnjemn"/>
          <w:rFonts w:ascii="Calibri" w:hAnsi="Calibri" w:cs="Calibri"/>
          <w:i w:val="0"/>
          <w:iCs w:val="0"/>
        </w:rPr>
        <w:t xml:space="preserve">Komise bude hledat dobrovolné závazky, například </w:t>
      </w:r>
      <w:r>
        <w:rPr>
          <w:rStyle w:val="Zdraznnjemn"/>
          <w:rFonts w:ascii="Calibri" w:hAnsi="Calibri" w:cs="Calibri"/>
          <w:i w:val="0"/>
          <w:iCs w:val="0"/>
        </w:rPr>
        <w:t>u:</w:t>
      </w:r>
    </w:p>
    <w:p w:rsidR="005942E7" w:rsidRDefault="005942E7" w:rsidP="00B6003D">
      <w:pPr>
        <w:pStyle w:val="Odstavecseseznamem"/>
        <w:numPr>
          <w:ilvl w:val="0"/>
          <w:numId w:val="13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4874A2">
        <w:rPr>
          <w:rStyle w:val="Zdraznnjemn"/>
          <w:rFonts w:ascii="Calibri" w:hAnsi="Calibri" w:cs="Calibri"/>
          <w:i w:val="0"/>
          <w:iCs w:val="0"/>
        </w:rPr>
        <w:t>provozovatel</w:t>
      </w:r>
      <w:r>
        <w:rPr>
          <w:rStyle w:val="Zdraznnjemn"/>
          <w:rFonts w:ascii="Calibri" w:hAnsi="Calibri" w:cs="Calibri"/>
          <w:i w:val="0"/>
          <w:iCs w:val="0"/>
        </w:rPr>
        <w:t>ů</w:t>
      </w:r>
      <w:r w:rsidRPr="004874A2">
        <w:rPr>
          <w:rStyle w:val="Zdraznnjemn"/>
          <w:rFonts w:ascii="Calibri" w:hAnsi="Calibri" w:cs="Calibri"/>
          <w:i w:val="0"/>
          <w:iCs w:val="0"/>
        </w:rPr>
        <w:t xml:space="preserve"> </w:t>
      </w:r>
      <w:r>
        <w:rPr>
          <w:rStyle w:val="Zdraznnjemn"/>
          <w:rFonts w:ascii="Calibri" w:hAnsi="Calibri" w:cs="Calibri"/>
          <w:i w:val="0"/>
          <w:iCs w:val="0"/>
        </w:rPr>
        <w:t>komerční</w:t>
      </w:r>
      <w:r w:rsidRPr="004874A2">
        <w:rPr>
          <w:rStyle w:val="Zdraznnjemn"/>
          <w:rFonts w:ascii="Calibri" w:hAnsi="Calibri" w:cs="Calibri"/>
          <w:i w:val="0"/>
          <w:iCs w:val="0"/>
        </w:rPr>
        <w:t xml:space="preserve"> a veřejné dopravy (např. </w:t>
      </w:r>
      <w:r>
        <w:rPr>
          <w:rStyle w:val="Zdraznnjemn"/>
          <w:rFonts w:ascii="Calibri" w:hAnsi="Calibri" w:cs="Calibri"/>
          <w:i w:val="0"/>
          <w:iCs w:val="0"/>
        </w:rPr>
        <w:t>š</w:t>
      </w:r>
      <w:r w:rsidRPr="004874A2">
        <w:rPr>
          <w:rStyle w:val="Zdraznnjemn"/>
          <w:rFonts w:ascii="Calibri" w:hAnsi="Calibri" w:cs="Calibri"/>
          <w:i w:val="0"/>
          <w:iCs w:val="0"/>
        </w:rPr>
        <w:t>kolení řidičů),</w:t>
      </w:r>
    </w:p>
    <w:p w:rsidR="005942E7" w:rsidRDefault="005942E7" w:rsidP="00B6003D">
      <w:pPr>
        <w:pStyle w:val="Odstavecseseznamem"/>
        <w:numPr>
          <w:ilvl w:val="0"/>
          <w:numId w:val="13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4874A2">
        <w:rPr>
          <w:rStyle w:val="Zdraznnjemn"/>
          <w:rFonts w:ascii="Calibri" w:hAnsi="Calibri" w:cs="Calibri"/>
          <w:i w:val="0"/>
          <w:iCs w:val="0"/>
        </w:rPr>
        <w:t>výrobc</w:t>
      </w:r>
      <w:r>
        <w:rPr>
          <w:rStyle w:val="Zdraznnjemn"/>
          <w:rFonts w:ascii="Calibri" w:hAnsi="Calibri" w:cs="Calibri"/>
          <w:i w:val="0"/>
          <w:iCs w:val="0"/>
        </w:rPr>
        <w:t>ů</w:t>
      </w:r>
      <w:r w:rsidRPr="004874A2">
        <w:rPr>
          <w:rStyle w:val="Zdraznnjemn"/>
          <w:rFonts w:ascii="Calibri" w:hAnsi="Calibri" w:cs="Calibri"/>
          <w:i w:val="0"/>
          <w:iCs w:val="0"/>
        </w:rPr>
        <w:t xml:space="preserve"> (např. </w:t>
      </w:r>
      <w:r>
        <w:rPr>
          <w:rStyle w:val="Zdraznnjemn"/>
          <w:rFonts w:ascii="Calibri" w:hAnsi="Calibri" w:cs="Calibri"/>
          <w:i w:val="0"/>
          <w:iCs w:val="0"/>
        </w:rPr>
        <w:t>zavádění</w:t>
      </w:r>
      <w:r w:rsidRPr="004874A2">
        <w:rPr>
          <w:rStyle w:val="Zdraznnjemn"/>
          <w:rFonts w:ascii="Calibri" w:hAnsi="Calibri" w:cs="Calibri"/>
          <w:i w:val="0"/>
          <w:iCs w:val="0"/>
        </w:rPr>
        <w:t xml:space="preserve"> eCall v nových vozidlech stávajících typů nebo jejich dodatečné vybavení),</w:t>
      </w:r>
    </w:p>
    <w:p w:rsidR="005942E7" w:rsidRDefault="005942E7" w:rsidP="00B6003D">
      <w:pPr>
        <w:pStyle w:val="Odstavecseseznamem"/>
        <w:numPr>
          <w:ilvl w:val="0"/>
          <w:numId w:val="13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4874A2">
        <w:rPr>
          <w:rStyle w:val="Zdraznnjemn"/>
          <w:rFonts w:ascii="Calibri" w:hAnsi="Calibri" w:cs="Calibri"/>
          <w:i w:val="0"/>
          <w:iCs w:val="0"/>
        </w:rPr>
        <w:t>pojišťov</w:t>
      </w:r>
      <w:r>
        <w:rPr>
          <w:rStyle w:val="Zdraznnjemn"/>
          <w:rFonts w:ascii="Calibri" w:hAnsi="Calibri" w:cs="Calibri"/>
          <w:i w:val="0"/>
          <w:iCs w:val="0"/>
        </w:rPr>
        <w:t>e</w:t>
      </w:r>
      <w:r w:rsidRPr="004874A2">
        <w:rPr>
          <w:rStyle w:val="Zdraznnjemn"/>
          <w:rFonts w:ascii="Calibri" w:hAnsi="Calibri" w:cs="Calibri"/>
          <w:i w:val="0"/>
          <w:iCs w:val="0"/>
        </w:rPr>
        <w:t xml:space="preserve">n (např. </w:t>
      </w:r>
      <w:r>
        <w:rPr>
          <w:rStyle w:val="Zdraznnjemn"/>
          <w:rFonts w:ascii="Calibri" w:hAnsi="Calibri" w:cs="Calibri"/>
          <w:i w:val="0"/>
          <w:iCs w:val="0"/>
        </w:rPr>
        <w:t>s</w:t>
      </w:r>
      <w:r w:rsidRPr="004874A2">
        <w:rPr>
          <w:rStyle w:val="Zdraznnjemn"/>
          <w:rFonts w:ascii="Calibri" w:hAnsi="Calibri" w:cs="Calibri"/>
          <w:i w:val="0"/>
          <w:iCs w:val="0"/>
        </w:rPr>
        <w:t>nížení pojistného na automobily, které mají nainstalovaný eCall).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CC6405">
        <w:rPr>
          <w:rStyle w:val="Zdraznnjemn"/>
          <w:rFonts w:ascii="Calibri" w:hAnsi="Calibri" w:cs="Calibri"/>
          <w:b/>
          <w:iCs w:val="0"/>
          <w:u w:val="single"/>
        </w:rPr>
        <w:t>Zajištění bezpečnosti silničního provozu do budoucna</w:t>
      </w:r>
      <w:r>
        <w:rPr>
          <w:rStyle w:val="Zdraznnjemn"/>
          <w:rFonts w:ascii="Calibri" w:hAnsi="Calibri" w:cs="Calibri"/>
          <w:b/>
          <w:iCs w:val="0"/>
        </w:rPr>
        <w:t xml:space="preserve"> - </w:t>
      </w:r>
      <w:r w:rsidRPr="008A1698">
        <w:rPr>
          <w:rStyle w:val="Zdraznnjemn"/>
          <w:rFonts w:ascii="Calibri" w:hAnsi="Calibri" w:cs="Calibri"/>
          <w:i w:val="0"/>
          <w:iCs w:val="0"/>
        </w:rPr>
        <w:t>Komise</w:t>
      </w:r>
      <w:r>
        <w:rPr>
          <w:rStyle w:val="Zdraznnjemn"/>
          <w:rFonts w:ascii="Calibri" w:hAnsi="Calibri" w:cs="Calibri"/>
          <w:i w:val="0"/>
          <w:iCs w:val="0"/>
        </w:rPr>
        <w:t xml:space="preserve"> mimo jiné:</w:t>
      </w:r>
    </w:p>
    <w:p w:rsidR="005942E7" w:rsidRDefault="005942E7" w:rsidP="00B6003D">
      <w:pPr>
        <w:pStyle w:val="Odstavecseseznamem"/>
        <w:numPr>
          <w:ilvl w:val="0"/>
          <w:numId w:val="29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CC6405">
        <w:rPr>
          <w:rStyle w:val="Zdraznnjemn"/>
          <w:rFonts w:ascii="Calibri" w:hAnsi="Calibri" w:cs="Calibri"/>
          <w:i w:val="0"/>
          <w:iCs w:val="0"/>
        </w:rPr>
        <w:t xml:space="preserve">přijme specifikace týkající se kooperativních </w:t>
      </w:r>
      <w:r w:rsidR="00E73CE0">
        <w:rPr>
          <w:rStyle w:val="Zdraznnjemn"/>
          <w:rFonts w:ascii="Calibri" w:hAnsi="Calibri" w:cs="Calibri"/>
          <w:i w:val="0"/>
          <w:iCs w:val="0"/>
        </w:rPr>
        <w:t>I</w:t>
      </w:r>
      <w:r w:rsidRPr="00CC6405">
        <w:rPr>
          <w:rStyle w:val="Zdraznnjemn"/>
          <w:rFonts w:ascii="Calibri" w:hAnsi="Calibri" w:cs="Calibri"/>
          <w:i w:val="0"/>
          <w:iCs w:val="0"/>
        </w:rPr>
        <w:t>TS (akt v přenesené pravomoci podle směrnice o ITS), včetně komunikace vozidla s vozidlem a vozidla s infrastrukturou [Q4 / 2018];</w:t>
      </w:r>
    </w:p>
    <w:p w:rsidR="005942E7" w:rsidRPr="00CC6405" w:rsidRDefault="005942E7" w:rsidP="00B6003D">
      <w:pPr>
        <w:pStyle w:val="Odstavecseseznamem"/>
        <w:numPr>
          <w:ilvl w:val="0"/>
          <w:numId w:val="29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CC6405">
        <w:rPr>
          <w:rStyle w:val="Zdraznnjemn"/>
          <w:rFonts w:ascii="Calibri" w:hAnsi="Calibri" w:cs="Calibri"/>
          <w:i w:val="0"/>
          <w:iCs w:val="0"/>
        </w:rPr>
        <w:t>bude spolupracovat se zúčastněnými stranami na zahájení procesu směřujícího k vypracování kodexu chování pro bezpečný přechod na vyšší úrovně automatizace, aby se zajistilo, že požadavky a postupy zohledňují otázky bezpečnosti silničního provozu (smíšená doprava, interakce s ostatními účastníky, výcvik), zejména zabránění rozporu s pravidly EU týkajícími se vozidel [Q3 / 2019].</w:t>
      </w:r>
    </w:p>
    <w:p w:rsidR="005942E7" w:rsidRPr="00EA539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EA5397">
        <w:rPr>
          <w:rStyle w:val="Zdraznnjemn"/>
          <w:rFonts w:ascii="Calibri" w:hAnsi="Calibri" w:cs="Calibri"/>
          <w:i w:val="0"/>
          <w:iCs w:val="0"/>
        </w:rPr>
        <w:t xml:space="preserve">Komise bude hledat dobrovolné závazky, například </w:t>
      </w:r>
      <w:r>
        <w:rPr>
          <w:rStyle w:val="Zdraznnjemn"/>
          <w:rFonts w:ascii="Calibri" w:hAnsi="Calibri" w:cs="Calibri"/>
          <w:i w:val="0"/>
          <w:iCs w:val="0"/>
        </w:rPr>
        <w:t>u:</w:t>
      </w:r>
    </w:p>
    <w:p w:rsidR="005942E7" w:rsidRDefault="005942E7" w:rsidP="00B6003D">
      <w:pPr>
        <w:pStyle w:val="Odstavecseseznamem"/>
        <w:numPr>
          <w:ilvl w:val="0"/>
          <w:numId w:val="15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EA5397">
        <w:rPr>
          <w:rStyle w:val="Zdraznnjemn"/>
          <w:rFonts w:ascii="Calibri" w:hAnsi="Calibri" w:cs="Calibri"/>
          <w:i w:val="0"/>
          <w:iCs w:val="0"/>
        </w:rPr>
        <w:t>provozovatel</w:t>
      </w:r>
      <w:r>
        <w:rPr>
          <w:rStyle w:val="Zdraznnjemn"/>
          <w:rFonts w:ascii="Calibri" w:hAnsi="Calibri" w:cs="Calibri"/>
          <w:i w:val="0"/>
          <w:iCs w:val="0"/>
        </w:rPr>
        <w:t>ů</w:t>
      </w:r>
      <w:r w:rsidRPr="00EA5397">
        <w:rPr>
          <w:rStyle w:val="Zdraznnjemn"/>
          <w:rFonts w:ascii="Calibri" w:hAnsi="Calibri" w:cs="Calibri"/>
          <w:i w:val="0"/>
          <w:iCs w:val="0"/>
        </w:rPr>
        <w:t xml:space="preserve"> vozidel a dopravc</w:t>
      </w:r>
      <w:r>
        <w:rPr>
          <w:rStyle w:val="Zdraznnjemn"/>
          <w:rFonts w:ascii="Calibri" w:hAnsi="Calibri" w:cs="Calibri"/>
          <w:i w:val="0"/>
          <w:iCs w:val="0"/>
        </w:rPr>
        <w:t>ů</w:t>
      </w:r>
      <w:r w:rsidRPr="00EA5397">
        <w:rPr>
          <w:rStyle w:val="Zdraznnjemn"/>
          <w:rFonts w:ascii="Calibri" w:hAnsi="Calibri" w:cs="Calibri"/>
          <w:i w:val="0"/>
          <w:iCs w:val="0"/>
        </w:rPr>
        <w:t xml:space="preserve"> (např. </w:t>
      </w:r>
      <w:r>
        <w:rPr>
          <w:rStyle w:val="Zdraznnjemn"/>
          <w:rFonts w:ascii="Calibri" w:hAnsi="Calibri" w:cs="Calibri"/>
          <w:i w:val="0"/>
          <w:iCs w:val="0"/>
        </w:rPr>
        <w:t>p</w:t>
      </w:r>
      <w:r w:rsidRPr="00EA5397">
        <w:rPr>
          <w:rStyle w:val="Zdraznnjemn"/>
          <w:rFonts w:ascii="Calibri" w:hAnsi="Calibri" w:cs="Calibri"/>
          <w:i w:val="0"/>
          <w:iCs w:val="0"/>
        </w:rPr>
        <w:t>řijetí firemní politiky bezpečnosti silničního provozu);</w:t>
      </w:r>
    </w:p>
    <w:p w:rsidR="005942E7" w:rsidRDefault="005942E7" w:rsidP="00B6003D">
      <w:pPr>
        <w:pStyle w:val="Odstavecseseznamem"/>
        <w:numPr>
          <w:ilvl w:val="0"/>
          <w:numId w:val="15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EA5397">
        <w:rPr>
          <w:rStyle w:val="Zdraznnjemn"/>
          <w:rFonts w:ascii="Calibri" w:hAnsi="Calibri" w:cs="Calibri"/>
          <w:i w:val="0"/>
          <w:iCs w:val="0"/>
        </w:rPr>
        <w:t>obchodní</w:t>
      </w:r>
      <w:r>
        <w:rPr>
          <w:rStyle w:val="Zdraznnjemn"/>
          <w:rFonts w:ascii="Calibri" w:hAnsi="Calibri" w:cs="Calibri"/>
          <w:i w:val="0"/>
          <w:iCs w:val="0"/>
        </w:rPr>
        <w:t>ch</w:t>
      </w:r>
      <w:r w:rsidRPr="00EA5397">
        <w:rPr>
          <w:rStyle w:val="Zdraznnjemn"/>
          <w:rFonts w:ascii="Calibri" w:hAnsi="Calibri" w:cs="Calibri"/>
          <w:i w:val="0"/>
          <w:iCs w:val="0"/>
        </w:rPr>
        <w:t xml:space="preserve"> sdružení (např. </w:t>
      </w:r>
      <w:r>
        <w:rPr>
          <w:rStyle w:val="Zdraznnjemn"/>
          <w:rFonts w:ascii="Calibri" w:hAnsi="Calibri" w:cs="Calibri"/>
          <w:i w:val="0"/>
          <w:iCs w:val="0"/>
        </w:rPr>
        <w:t>p</w:t>
      </w:r>
      <w:r w:rsidRPr="00EA5397">
        <w:rPr>
          <w:rStyle w:val="Zdraznnjemn"/>
          <w:rFonts w:ascii="Calibri" w:hAnsi="Calibri" w:cs="Calibri"/>
          <w:i w:val="0"/>
          <w:iCs w:val="0"/>
        </w:rPr>
        <w:t>okyny pro malé a střední podniky týkající se bezpečnosti silničního provozu, zejména pokud jde o bezpečnost dodávkových vozů v městských oblastech); a</w:t>
      </w:r>
    </w:p>
    <w:p w:rsidR="005942E7" w:rsidRDefault="005942E7" w:rsidP="00B6003D">
      <w:pPr>
        <w:pStyle w:val="Odstavecseseznamem"/>
        <w:numPr>
          <w:ilvl w:val="0"/>
          <w:numId w:val="15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EA5397">
        <w:rPr>
          <w:rStyle w:val="Zdraznnjemn"/>
          <w:rFonts w:ascii="Calibri" w:hAnsi="Calibri" w:cs="Calibri"/>
          <w:i w:val="0"/>
          <w:iCs w:val="0"/>
        </w:rPr>
        <w:t>vnitrostátní</w:t>
      </w:r>
      <w:r>
        <w:rPr>
          <w:rStyle w:val="Zdraznnjemn"/>
          <w:rFonts w:ascii="Calibri" w:hAnsi="Calibri" w:cs="Calibri"/>
          <w:i w:val="0"/>
          <w:iCs w:val="0"/>
        </w:rPr>
        <w:t>ch</w:t>
      </w:r>
      <w:r w:rsidRPr="00EA5397">
        <w:rPr>
          <w:rStyle w:val="Zdraznnjemn"/>
          <w:rFonts w:ascii="Calibri" w:hAnsi="Calibri" w:cs="Calibri"/>
          <w:i w:val="0"/>
          <w:iCs w:val="0"/>
        </w:rPr>
        <w:t xml:space="preserve"> orgán</w:t>
      </w:r>
      <w:r>
        <w:rPr>
          <w:rStyle w:val="Zdraznnjemn"/>
          <w:rFonts w:ascii="Calibri" w:hAnsi="Calibri" w:cs="Calibri"/>
          <w:i w:val="0"/>
          <w:iCs w:val="0"/>
        </w:rPr>
        <w:t>ů</w:t>
      </w:r>
      <w:r w:rsidRPr="00EA5397">
        <w:rPr>
          <w:rStyle w:val="Zdraznnjemn"/>
          <w:rFonts w:ascii="Calibri" w:hAnsi="Calibri" w:cs="Calibri"/>
          <w:i w:val="0"/>
          <w:iCs w:val="0"/>
        </w:rPr>
        <w:t xml:space="preserve"> (např. </w:t>
      </w:r>
      <w:r>
        <w:rPr>
          <w:rStyle w:val="Zdraznnjemn"/>
          <w:rFonts w:ascii="Calibri" w:hAnsi="Calibri" w:cs="Calibri"/>
          <w:i w:val="0"/>
          <w:iCs w:val="0"/>
        </w:rPr>
        <w:t>p</w:t>
      </w:r>
      <w:r w:rsidRPr="00EA5397">
        <w:rPr>
          <w:rStyle w:val="Zdraznnjemn"/>
          <w:rFonts w:ascii="Calibri" w:hAnsi="Calibri" w:cs="Calibri"/>
          <w:i w:val="0"/>
          <w:iCs w:val="0"/>
        </w:rPr>
        <w:t>říklady osvědčených postupů v boji proti manipulaci s vozidly).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A72D46">
        <w:rPr>
          <w:rStyle w:val="Zdraznnjemn"/>
          <w:rFonts w:ascii="Calibri" w:hAnsi="Calibri" w:cs="Calibri"/>
          <w:i w:val="0"/>
          <w:iCs w:val="0"/>
        </w:rPr>
        <w:t xml:space="preserve">Komise posoudí potřebu dalších opatření, jako je podpora harmonizace rozhraní člověk-stroj. </w:t>
      </w:r>
      <w:r>
        <w:rPr>
          <w:rStyle w:val="Zdraznnjemn"/>
          <w:rFonts w:ascii="Calibri" w:hAnsi="Calibri" w:cs="Calibri"/>
          <w:i w:val="0"/>
          <w:iCs w:val="0"/>
        </w:rPr>
        <w:t>V</w:t>
      </w:r>
      <w:r w:rsidRPr="00A72D46">
        <w:rPr>
          <w:rStyle w:val="Zdraznnjemn"/>
          <w:rFonts w:ascii="Calibri" w:hAnsi="Calibri" w:cs="Calibri"/>
          <w:i w:val="0"/>
          <w:iCs w:val="0"/>
        </w:rPr>
        <w:t xml:space="preserve">yhodnotí, zda bude třeba přezkoumat právní předpisy týkající se řidičských průkazů, technické způsobilosti, odborné přípravy řidičů a </w:t>
      </w:r>
      <w:r>
        <w:rPr>
          <w:rStyle w:val="Zdraznnjemn"/>
          <w:rFonts w:ascii="Calibri" w:hAnsi="Calibri" w:cs="Calibri"/>
          <w:i w:val="0"/>
          <w:iCs w:val="0"/>
        </w:rPr>
        <w:t>délku praxe</w:t>
      </w:r>
      <w:r w:rsidRPr="00A72D46">
        <w:rPr>
          <w:rStyle w:val="Zdraznnjemn"/>
          <w:rFonts w:ascii="Calibri" w:hAnsi="Calibri" w:cs="Calibri"/>
          <w:i w:val="0"/>
          <w:iCs w:val="0"/>
        </w:rPr>
        <w:t>, aby se zohlednil vývoj v kooperativní, propojené a autonomní mobilitě.</w:t>
      </w:r>
    </w:p>
    <w:p w:rsidR="005942E7" w:rsidRPr="00EA539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Pr="00830F8D" w:rsidRDefault="00316E66" w:rsidP="005942E7">
      <w:p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hyperlink r:id="rId75" w:history="1">
        <w:r w:rsidR="005942E7" w:rsidRPr="00830F8D">
          <w:rPr>
            <w:rStyle w:val="Hypertextovodkaz"/>
            <w:rFonts w:ascii="Calibri" w:hAnsi="Calibri" w:cs="Calibri"/>
            <w:b/>
            <w:color w:val="4040FF" w:themeColor="hyperlink" w:themeTint="BF"/>
          </w:rPr>
          <w:t>Návrh nařízení o požadavcích na schvalování typu motorových vozidel</w:t>
        </w:r>
      </w:hyperlink>
    </w:p>
    <w:p w:rsidR="005942E7" w:rsidRPr="00CC6405" w:rsidRDefault="005942E7" w:rsidP="005942E7">
      <w:pPr>
        <w:spacing w:after="0"/>
        <w:jc w:val="both"/>
        <w:rPr>
          <w:rStyle w:val="Zdraznnjemn"/>
          <w:rFonts w:ascii="Calibri" w:hAnsi="Calibri" w:cs="Calibri"/>
          <w:b/>
          <w:i w:val="0"/>
          <w:iCs w:val="0"/>
          <w:u w:val="single"/>
        </w:rPr>
      </w:pPr>
      <w:r w:rsidRPr="00CC6405">
        <w:rPr>
          <w:rStyle w:val="Zdraznnjemn"/>
          <w:rFonts w:ascii="Calibri" w:hAnsi="Calibri" w:cs="Calibri"/>
          <w:b/>
          <w:i w:val="0"/>
          <w:iCs w:val="0"/>
          <w:u w:val="single"/>
        </w:rPr>
        <w:t>Posouzení dopadů</w:t>
      </w:r>
    </w:p>
    <w:p w:rsidR="005942E7" w:rsidRDefault="005942E7" w:rsidP="00B6003D">
      <w:pPr>
        <w:pStyle w:val="Odstavecseseznamem"/>
        <w:numPr>
          <w:ilvl w:val="0"/>
          <w:numId w:val="33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B44895">
        <w:rPr>
          <w:rStyle w:val="Zdraznnjemn"/>
          <w:rFonts w:ascii="Calibri" w:hAnsi="Calibri" w:cs="Calibri"/>
          <w:i w:val="0"/>
          <w:iCs w:val="0"/>
        </w:rPr>
        <w:t>PO1 – Zavádění široce dostupných a vyzkoušených bezpečnostních technologií, které budou chránit zejména řidiče, implementace od účinnosti nařízení.</w:t>
      </w:r>
    </w:p>
    <w:p w:rsidR="005942E7" w:rsidRDefault="005942E7" w:rsidP="00B6003D">
      <w:pPr>
        <w:pStyle w:val="Odstavecseseznamem"/>
        <w:numPr>
          <w:ilvl w:val="0"/>
          <w:numId w:val="33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B44895">
        <w:rPr>
          <w:rStyle w:val="Zdraznnjemn"/>
          <w:rFonts w:ascii="Calibri" w:hAnsi="Calibri" w:cs="Calibri"/>
          <w:i w:val="0"/>
          <w:iCs w:val="0"/>
        </w:rPr>
        <w:t xml:space="preserve">PO2 – </w:t>
      </w:r>
      <w:r>
        <w:rPr>
          <w:rStyle w:val="Zdraznnjemn"/>
          <w:rFonts w:ascii="Calibri" w:hAnsi="Calibri" w:cs="Calibri"/>
          <w:i w:val="0"/>
          <w:iCs w:val="0"/>
        </w:rPr>
        <w:t>PO</w:t>
      </w:r>
      <w:r w:rsidRPr="00B44895">
        <w:rPr>
          <w:rStyle w:val="Zdraznnjemn"/>
          <w:rFonts w:ascii="Calibri" w:hAnsi="Calibri" w:cs="Calibri"/>
          <w:i w:val="0"/>
          <w:iCs w:val="0"/>
        </w:rPr>
        <w:t>1 + zavádění ne zcela rozšířených technologií, které potřebují více času (jejich implementace začíná po 2 letech), zahrnuje technologie zajištující pozornost řidiče a ochranu zranitelných účastníků.</w:t>
      </w:r>
    </w:p>
    <w:p w:rsidR="005942E7" w:rsidRPr="00B44895" w:rsidRDefault="005942E7" w:rsidP="00B6003D">
      <w:pPr>
        <w:pStyle w:val="Odstavecseseznamem"/>
        <w:numPr>
          <w:ilvl w:val="0"/>
          <w:numId w:val="33"/>
        </w:num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>
        <w:rPr>
          <w:rStyle w:val="Zdraznnjemn"/>
          <w:rFonts w:ascii="Calibri" w:hAnsi="Calibri" w:cs="Calibri"/>
          <w:b/>
          <w:i w:val="0"/>
          <w:iCs w:val="0"/>
        </w:rPr>
        <w:t>PO</w:t>
      </w:r>
      <w:r w:rsidRPr="00B44895">
        <w:rPr>
          <w:rStyle w:val="Zdraznnjemn"/>
          <w:rFonts w:ascii="Calibri" w:hAnsi="Calibri" w:cs="Calibri"/>
          <w:b/>
          <w:i w:val="0"/>
          <w:iCs w:val="0"/>
        </w:rPr>
        <w:t xml:space="preserve">3 – </w:t>
      </w:r>
      <w:r>
        <w:rPr>
          <w:rStyle w:val="Zdraznnjemn"/>
          <w:rFonts w:ascii="Calibri" w:hAnsi="Calibri" w:cs="Calibri"/>
          <w:b/>
          <w:i w:val="0"/>
          <w:iCs w:val="0"/>
        </w:rPr>
        <w:t>PO</w:t>
      </w:r>
      <w:r w:rsidRPr="00B44895">
        <w:rPr>
          <w:rStyle w:val="Zdraznnjemn"/>
          <w:rFonts w:ascii="Calibri" w:hAnsi="Calibri" w:cs="Calibri"/>
          <w:b/>
          <w:i w:val="0"/>
          <w:iCs w:val="0"/>
        </w:rPr>
        <w:t>2 + zavádění celého souboru technologií a řešení s malým rozšířením, ale velkým potenciálem, (ještě delší čas implementace pouze v případě technologií pro přímou viditelnost zranitelných účastníků silničního provozu ze strany řidičů nákladních automobilů).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  <w:r w:rsidRPr="00870262">
        <w:rPr>
          <w:rStyle w:val="Zdraznnjemn"/>
          <w:rFonts w:ascii="Calibri" w:hAnsi="Calibri" w:cs="Calibri"/>
          <w:b/>
          <w:i w:val="0"/>
          <w:iCs w:val="0"/>
        </w:rPr>
        <w:t>Upřednostňovanou variantou je PO3.</w:t>
      </w:r>
      <w:r w:rsidRPr="00D85046">
        <w:rPr>
          <w:rStyle w:val="Zdraznnjemn"/>
          <w:rFonts w:ascii="Calibri" w:hAnsi="Calibri" w:cs="Calibri"/>
          <w:i w:val="0"/>
          <w:iCs w:val="0"/>
        </w:rPr>
        <w:t xml:space="preserve"> Tato možnost by měla zabránit nejvyššímu počtu úmrtí a vážným zraněním cestujících ve vozidle a zranitelných účastníků silničního provozu za přijateln</w:t>
      </w:r>
      <w:r>
        <w:rPr>
          <w:rStyle w:val="Zdraznnjemn"/>
          <w:rFonts w:ascii="Calibri" w:hAnsi="Calibri" w:cs="Calibri"/>
          <w:i w:val="0"/>
          <w:iCs w:val="0"/>
        </w:rPr>
        <w:t>ých</w:t>
      </w:r>
      <w:r w:rsidRPr="00D85046">
        <w:rPr>
          <w:rStyle w:val="Zdraznnjemn"/>
          <w:rFonts w:ascii="Calibri" w:hAnsi="Calibri" w:cs="Calibri"/>
          <w:i w:val="0"/>
          <w:iCs w:val="0"/>
        </w:rPr>
        <w:t xml:space="preserve"> náklad</w:t>
      </w:r>
      <w:r>
        <w:rPr>
          <w:rStyle w:val="Zdraznnjemn"/>
          <w:rFonts w:ascii="Calibri" w:hAnsi="Calibri" w:cs="Calibri"/>
          <w:i w:val="0"/>
          <w:iCs w:val="0"/>
        </w:rPr>
        <w:t>ů</w:t>
      </w:r>
      <w:r w:rsidRPr="00D85046">
        <w:rPr>
          <w:rStyle w:val="Zdraznnjemn"/>
          <w:rFonts w:ascii="Calibri" w:hAnsi="Calibri" w:cs="Calibri"/>
          <w:i w:val="0"/>
          <w:iCs w:val="0"/>
        </w:rPr>
        <w:t>. Zaručuje také konzistentní a nediskriminační přístup ke všem kategoriím vozidel.</w:t>
      </w:r>
    </w:p>
    <w:p w:rsidR="005942E7" w:rsidRDefault="005942E7" w:rsidP="005942E7">
      <w:pPr>
        <w:spacing w:after="0"/>
        <w:jc w:val="both"/>
        <w:rPr>
          <w:rStyle w:val="Zdraznnjemn"/>
          <w:rFonts w:ascii="Calibri" w:hAnsi="Calibri" w:cs="Calibri"/>
          <w:i w:val="0"/>
          <w:iCs w:val="0"/>
        </w:rPr>
      </w:pPr>
    </w:p>
    <w:p w:rsidR="005942E7" w:rsidRPr="00725019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725019">
        <w:rPr>
          <w:rStyle w:val="Hypertextovodkaz"/>
          <w:rFonts w:cstheme="minorHAnsi"/>
          <w:b/>
          <w:color w:val="404040" w:themeColor="text1" w:themeTint="BF"/>
        </w:rPr>
        <w:t>Očekávané přínosy</w:t>
      </w:r>
      <w:r>
        <w:rPr>
          <w:rStyle w:val="Hypertextovodkaz"/>
          <w:rFonts w:cstheme="minorHAnsi"/>
          <w:b/>
          <w:color w:val="404040" w:themeColor="text1" w:themeTint="BF"/>
          <w:u w:val="none"/>
        </w:rPr>
        <w:t>:</w:t>
      </w:r>
    </w:p>
    <w:p w:rsidR="005942E7" w:rsidRDefault="005942E7" w:rsidP="00B6003D">
      <w:pPr>
        <w:pStyle w:val="Odstavecseseznamem"/>
        <w:numPr>
          <w:ilvl w:val="0"/>
          <w:numId w:val="14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color w:val="404040" w:themeColor="text1" w:themeTint="BF"/>
          <w:u w:val="none"/>
        </w:rPr>
        <w:t>B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 xml:space="preserve">ěhem 16 let 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prvky přispějí 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ke snížení počtu obětí o 24 794 a vážných zranění o 140 740 osob.</w:t>
      </w:r>
    </w:p>
    <w:p w:rsidR="005942E7" w:rsidRDefault="005942E7" w:rsidP="00B6003D">
      <w:pPr>
        <w:pStyle w:val="Odstavecseseznamem"/>
        <w:numPr>
          <w:ilvl w:val="0"/>
          <w:numId w:val="14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color w:val="404040" w:themeColor="text1" w:themeTint="BF"/>
          <w:u w:val="none"/>
        </w:rPr>
        <w:t xml:space="preserve">Dle současné peněžní hodnoty je </w:t>
      </w:r>
      <w:r w:rsidRPr="00725019">
        <w:rPr>
          <w:rStyle w:val="Hypertextovodkaz"/>
          <w:rFonts w:cstheme="minorHAnsi"/>
          <w:b/>
          <w:color w:val="404040" w:themeColor="text1" w:themeTint="BF"/>
          <w:u w:val="none"/>
        </w:rPr>
        <w:t>přínos 72,8 mld. EUR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.</w:t>
      </w:r>
    </w:p>
    <w:p w:rsidR="005942E7" w:rsidRDefault="005942E7" w:rsidP="00B6003D">
      <w:pPr>
        <w:pStyle w:val="Odstavecseseznamem"/>
        <w:numPr>
          <w:ilvl w:val="0"/>
          <w:numId w:val="14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color w:val="404040" w:themeColor="text1" w:themeTint="BF"/>
          <w:u w:val="none"/>
        </w:rPr>
        <w:lastRenderedPageBreak/>
        <w:t>Z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 xml:space="preserve">amezení kolizí </w:t>
      </w:r>
      <w:r>
        <w:rPr>
          <w:rStyle w:val="Hypertextovodkaz"/>
          <w:rFonts w:cstheme="minorHAnsi"/>
          <w:color w:val="404040" w:themeColor="text1" w:themeTint="BF"/>
          <w:u w:val="none"/>
        </w:rPr>
        <w:t>-&gt;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 xml:space="preserve"> snížení přetížení silnic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 (nelze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 xml:space="preserve"> kvantifikov</w:t>
      </w:r>
      <w:r>
        <w:rPr>
          <w:rStyle w:val="Hypertextovodkaz"/>
          <w:rFonts w:cstheme="minorHAnsi"/>
          <w:color w:val="404040" w:themeColor="text1" w:themeTint="BF"/>
          <w:u w:val="none"/>
        </w:rPr>
        <w:t>at)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 xml:space="preserve">. </w:t>
      </w:r>
      <w:r>
        <w:rPr>
          <w:rStyle w:val="Hypertextovodkaz"/>
          <w:rFonts w:cstheme="minorHAnsi"/>
          <w:color w:val="404040" w:themeColor="text1" w:themeTint="BF"/>
          <w:u w:val="none"/>
        </w:rPr>
        <w:t>Sníže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ní ztráty času (občan</w:t>
      </w:r>
      <w:r>
        <w:rPr>
          <w:rStyle w:val="Hypertextovodkaz"/>
          <w:rFonts w:cstheme="minorHAnsi"/>
          <w:color w:val="404040" w:themeColor="text1" w:themeTint="BF"/>
          <w:u w:val="none"/>
        </w:rPr>
        <w:t>ů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), zvýšení produktivity (podniků) a lepšího využívání stávající silniční infrastruktury (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státní 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správ</w:t>
      </w:r>
      <w:r>
        <w:rPr>
          <w:rStyle w:val="Hypertextovodkaz"/>
          <w:rFonts w:cstheme="minorHAnsi"/>
          <w:color w:val="404040" w:themeColor="text1" w:themeTint="BF"/>
          <w:u w:val="none"/>
        </w:rPr>
        <w:t>ou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).</w:t>
      </w:r>
    </w:p>
    <w:p w:rsidR="005942E7" w:rsidRDefault="005942E7" w:rsidP="00B6003D">
      <w:pPr>
        <w:pStyle w:val="Odstavecseseznamem"/>
        <w:numPr>
          <w:ilvl w:val="0"/>
          <w:numId w:val="14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color w:val="404040" w:themeColor="text1" w:themeTint="BF"/>
          <w:u w:val="none"/>
        </w:rPr>
        <w:t>Sní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žení emisí vozidel a zlepšení kvality ovzduší díky systémům rychlé asistence a</w:t>
      </w:r>
      <w:r>
        <w:rPr>
          <w:rStyle w:val="Hypertextovodkaz"/>
          <w:rFonts w:cstheme="minorHAnsi"/>
          <w:color w:val="404040" w:themeColor="text1" w:themeTint="BF"/>
          <w:u w:val="none"/>
        </w:rPr>
        <w:t> 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monitorování tlaku v pneumatikách, ačkoli tyto výhody nemohou být kvantifikovány.</w:t>
      </w: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725019">
        <w:rPr>
          <w:rStyle w:val="Hypertextovodkaz"/>
          <w:rFonts w:cstheme="minorHAnsi"/>
          <w:b/>
          <w:color w:val="404040" w:themeColor="text1" w:themeTint="BF"/>
        </w:rPr>
        <w:t>Očekávané náklady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:</w:t>
      </w:r>
    </w:p>
    <w:p w:rsidR="005942E7" w:rsidRDefault="005942E7" w:rsidP="00B6003D">
      <w:pPr>
        <w:pStyle w:val="Odstavecseseznamem"/>
        <w:numPr>
          <w:ilvl w:val="0"/>
          <w:numId w:val="16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A85D17">
        <w:rPr>
          <w:rStyle w:val="Hypertextovodkaz"/>
          <w:rFonts w:cstheme="minorHAnsi"/>
          <w:color w:val="404040" w:themeColor="text1" w:themeTint="BF"/>
          <w:u w:val="none"/>
        </w:rPr>
        <w:t xml:space="preserve">Předpokládané celkové </w:t>
      </w:r>
      <w:r w:rsidRPr="00725019">
        <w:rPr>
          <w:rStyle w:val="Hypertextovodkaz"/>
          <w:rFonts w:cstheme="minorHAnsi"/>
          <w:b/>
          <w:color w:val="404040" w:themeColor="text1" w:themeTint="BF"/>
          <w:u w:val="none"/>
        </w:rPr>
        <w:t>náklady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 xml:space="preserve"> (jednorázové a průběžné výrobní náklady) </w:t>
      </w:r>
      <w:r w:rsidRPr="00725019">
        <w:rPr>
          <w:rStyle w:val="Hypertextovodkaz"/>
          <w:rFonts w:cstheme="minorHAnsi"/>
          <w:b/>
          <w:color w:val="404040" w:themeColor="text1" w:themeTint="BF"/>
          <w:u w:val="none"/>
        </w:rPr>
        <w:t>pro výrobce automobilů činí 57,4 mld. EUR dle současné hodnoty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.</w:t>
      </w:r>
    </w:p>
    <w:p w:rsidR="005942E7" w:rsidRDefault="005942E7" w:rsidP="00B6003D">
      <w:pPr>
        <w:pStyle w:val="Odstavecseseznamem"/>
        <w:numPr>
          <w:ilvl w:val="0"/>
          <w:numId w:val="16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A85D17">
        <w:rPr>
          <w:rStyle w:val="Hypertextovodkaz"/>
          <w:rFonts w:cstheme="minorHAnsi"/>
          <w:color w:val="404040" w:themeColor="text1" w:themeTint="BF"/>
          <w:u w:val="none"/>
        </w:rPr>
        <w:t xml:space="preserve">V důsledku navržených nových bezpečnostních opatření ve vozidle </w:t>
      </w:r>
      <w:r w:rsidRPr="00725019">
        <w:rPr>
          <w:rStyle w:val="Hypertextovodkaz"/>
          <w:rFonts w:cstheme="minorHAnsi"/>
          <w:b/>
          <w:color w:val="404040" w:themeColor="text1" w:themeTint="BF"/>
          <w:u w:val="none"/>
        </w:rPr>
        <w:t>se neočekává žádné podstatné zvýšení maloobchodních cen vozidel ve střednědobém a dlouhodobém horizontu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, a proto nebyl pro analýzu nákladů a přínosů modelován žádný mimořádný dopad na prodej</w:t>
      </w:r>
      <w:r>
        <w:rPr>
          <w:rStyle w:val="Hypertextovodkaz"/>
          <w:rFonts w:cstheme="minorHAnsi"/>
          <w:color w:val="404040" w:themeColor="text1" w:themeTint="BF"/>
          <w:u w:val="none"/>
        </w:rPr>
        <w:t>e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 xml:space="preserve"> vozidel.</w:t>
      </w:r>
    </w:p>
    <w:p w:rsidR="005942E7" w:rsidRDefault="005942E7" w:rsidP="00B6003D">
      <w:pPr>
        <w:pStyle w:val="Odstavecseseznamem"/>
        <w:numPr>
          <w:ilvl w:val="0"/>
          <w:numId w:val="16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A85D17">
        <w:rPr>
          <w:rStyle w:val="Hypertextovodkaz"/>
          <w:rFonts w:cstheme="minorHAnsi"/>
          <w:color w:val="404040" w:themeColor="text1" w:themeTint="BF"/>
          <w:u w:val="none"/>
        </w:rPr>
        <w:t>Neočekávají se žádné zvláštní dodatečné náklady pro správní orgány, jelikož nové bezpečnostní prvky vozidla se stanou součástí stávajícího rámce pro schvalování typu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 vozidel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.</w:t>
      </w:r>
    </w:p>
    <w:p w:rsidR="005942E7" w:rsidRPr="00A85D1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725019">
        <w:rPr>
          <w:rStyle w:val="Hypertextovodkaz"/>
          <w:rFonts w:cstheme="minorHAnsi"/>
          <w:b/>
          <w:color w:val="404040" w:themeColor="text1" w:themeTint="BF"/>
        </w:rPr>
        <w:t>Celkové ukazatele přínosů / nákladů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:</w:t>
      </w:r>
    </w:p>
    <w:p w:rsidR="005942E7" w:rsidRDefault="005942E7" w:rsidP="00B6003D">
      <w:pPr>
        <w:pStyle w:val="Odstavecseseznamem"/>
        <w:numPr>
          <w:ilvl w:val="0"/>
          <w:numId w:val="17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color w:val="404040" w:themeColor="text1" w:themeTint="BF"/>
          <w:u w:val="none"/>
        </w:rPr>
        <w:t>C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 xml:space="preserve">elkový </w:t>
      </w:r>
      <w:r w:rsidRPr="00725019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čistý </w:t>
      </w:r>
      <w:r>
        <w:rPr>
          <w:rStyle w:val="Hypertextovodkaz"/>
          <w:rFonts w:cstheme="minorHAnsi"/>
          <w:b/>
          <w:color w:val="404040" w:themeColor="text1" w:themeTint="BF"/>
          <w:u w:val="none"/>
        </w:rPr>
        <w:t>přínos</w:t>
      </w:r>
      <w:r w:rsidRPr="00725019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 ve výši 15,4 mld. EUR</w:t>
      </w:r>
      <w:r w:rsidRPr="00A85D17">
        <w:rPr>
          <w:rStyle w:val="Hypertextovodkaz"/>
          <w:rFonts w:cstheme="minorHAnsi"/>
          <w:color w:val="404040" w:themeColor="text1" w:themeTint="BF"/>
          <w:u w:val="none"/>
        </w:rPr>
        <w:t>.</w:t>
      </w:r>
    </w:p>
    <w:p w:rsidR="005942E7" w:rsidRPr="00A85D17" w:rsidRDefault="005942E7" w:rsidP="00B6003D">
      <w:pPr>
        <w:pStyle w:val="Odstavecseseznamem"/>
        <w:numPr>
          <w:ilvl w:val="0"/>
          <w:numId w:val="17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A85D17">
        <w:rPr>
          <w:rStyle w:val="Hypertextovodkaz"/>
          <w:rFonts w:cstheme="minorHAnsi"/>
          <w:color w:val="404040" w:themeColor="text1" w:themeTint="BF"/>
          <w:u w:val="none"/>
        </w:rPr>
        <w:t>Poměr nákladů a přínosů dle "nejlepšího odhadu" u preferovaného řešení je 1,27 BCR.</w:t>
      </w: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</w:p>
    <w:p w:rsidR="005942E7" w:rsidRPr="00725019" w:rsidRDefault="005942E7" w:rsidP="005942E7">
      <w:pPr>
        <w:spacing w:after="0"/>
        <w:jc w:val="both"/>
        <w:rPr>
          <w:rStyle w:val="Hypertextovodkaz"/>
          <w:rFonts w:cstheme="minorHAnsi"/>
          <w:b/>
          <w:color w:val="404040" w:themeColor="text1" w:themeTint="BF"/>
        </w:rPr>
      </w:pPr>
      <w:r>
        <w:rPr>
          <w:rStyle w:val="Hypertextovodkaz"/>
          <w:rFonts w:cstheme="minorHAnsi"/>
          <w:b/>
          <w:color w:val="404040" w:themeColor="text1" w:themeTint="BF"/>
        </w:rPr>
        <w:t>N</w:t>
      </w:r>
      <w:r w:rsidRPr="00725019">
        <w:rPr>
          <w:rStyle w:val="Hypertextovodkaz"/>
          <w:rFonts w:cstheme="minorHAnsi"/>
          <w:b/>
          <w:color w:val="404040" w:themeColor="text1" w:themeTint="BF"/>
        </w:rPr>
        <w:t>ařízení</w:t>
      </w:r>
    </w:p>
    <w:p w:rsidR="005942E7" w:rsidRPr="00A85D1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A85D17">
        <w:rPr>
          <w:rStyle w:val="Hypertextovodkaz"/>
          <w:rFonts w:cstheme="minorHAnsi"/>
          <w:color w:val="404040" w:themeColor="text1" w:themeTint="BF"/>
          <w:u w:val="none"/>
        </w:rPr>
        <w:t>Kapitola 1 (</w:t>
      </w:r>
      <w:r w:rsidRPr="00A85D17">
        <w:rPr>
          <w:rStyle w:val="shorttext"/>
          <w:color w:val="404040" w:themeColor="text1" w:themeTint="BF"/>
        </w:rPr>
        <w:t>předmět, rozsah a definice)</w:t>
      </w:r>
    </w:p>
    <w:p w:rsidR="005942E7" w:rsidRDefault="005942E7" w:rsidP="00B6003D">
      <w:pPr>
        <w:pStyle w:val="Odstavecseseznamem"/>
        <w:numPr>
          <w:ilvl w:val="0"/>
          <w:numId w:val="30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725019">
        <w:rPr>
          <w:rStyle w:val="Hypertextovodkaz"/>
          <w:rFonts w:cstheme="minorHAnsi"/>
          <w:color w:val="404040" w:themeColor="text1" w:themeTint="BF"/>
          <w:u w:val="none"/>
        </w:rPr>
        <w:t>Článek 1 - Doplňuje se odkaz na požadavky na ochranu uživatelů vozidel a zranitelných účastníků</w:t>
      </w:r>
      <w:r>
        <w:rPr>
          <w:rStyle w:val="Hypertextovodkaz"/>
          <w:rFonts w:cstheme="minorHAnsi"/>
          <w:color w:val="404040" w:themeColor="text1" w:themeTint="BF"/>
          <w:u w:val="none"/>
        </w:rPr>
        <w:t>.</w:t>
      </w:r>
    </w:p>
    <w:p w:rsidR="005942E7" w:rsidRDefault="005942E7" w:rsidP="00B6003D">
      <w:pPr>
        <w:pStyle w:val="Odstavecseseznamem"/>
        <w:numPr>
          <w:ilvl w:val="0"/>
          <w:numId w:val="30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725019">
        <w:rPr>
          <w:rStyle w:val="Hypertextovodkaz"/>
          <w:rFonts w:cstheme="minorHAnsi"/>
          <w:color w:val="404040" w:themeColor="text1" w:themeTint="BF"/>
          <w:u w:val="none"/>
        </w:rPr>
        <w:t xml:space="preserve">Článek 2 - </w:t>
      </w:r>
      <w:r w:rsidR="00996A85" w:rsidRPr="00996A85">
        <w:rPr>
          <w:rStyle w:val="Hypertextovodkaz"/>
          <w:rFonts w:cstheme="minorHAnsi"/>
          <w:b/>
          <w:color w:val="404040" w:themeColor="text1" w:themeTint="BF"/>
          <w:u w:val="none"/>
        </w:rPr>
        <w:t>N</w:t>
      </w:r>
      <w:r w:rsidRPr="00725019">
        <w:rPr>
          <w:rStyle w:val="Hypertextovodkaz"/>
          <w:rFonts w:cstheme="minorHAnsi"/>
          <w:b/>
          <w:color w:val="404040" w:themeColor="text1" w:themeTint="BF"/>
          <w:u w:val="none"/>
        </w:rPr>
        <w:t>ařízení pokrývá všechny druhy vozidel</w:t>
      </w:r>
      <w:r w:rsidRPr="00725019">
        <w:rPr>
          <w:rStyle w:val="Hypertextovodkaz"/>
          <w:rFonts w:cstheme="minorHAnsi"/>
          <w:color w:val="404040" w:themeColor="text1" w:themeTint="BF"/>
          <w:u w:val="none"/>
        </w:rPr>
        <w:t xml:space="preserve">, </w:t>
      </w:r>
      <w:r w:rsidRPr="00725019">
        <w:rPr>
          <w:rStyle w:val="Hypertextovodkaz"/>
          <w:rFonts w:cstheme="minorHAnsi"/>
          <w:b/>
          <w:color w:val="404040" w:themeColor="text1" w:themeTint="BF"/>
          <w:u w:val="none"/>
        </w:rPr>
        <w:t>výjimky pro SUV a dodávky se ruší</w:t>
      </w:r>
      <w:r w:rsidRPr="00725019">
        <w:rPr>
          <w:rStyle w:val="Hypertextovodkaz"/>
          <w:rFonts w:cstheme="minorHAnsi"/>
          <w:color w:val="404040" w:themeColor="text1" w:themeTint="BF"/>
          <w:u w:val="none"/>
        </w:rPr>
        <w:t>.</w:t>
      </w:r>
    </w:p>
    <w:p w:rsidR="005942E7" w:rsidRPr="00057B8A" w:rsidRDefault="005942E7" w:rsidP="00B6003D">
      <w:pPr>
        <w:pStyle w:val="Odstavecseseznamem"/>
        <w:numPr>
          <w:ilvl w:val="0"/>
          <w:numId w:val="30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color w:val="404040" w:themeColor="text1" w:themeTint="BF"/>
          <w:u w:val="none"/>
        </w:rPr>
        <w:t>Č</w:t>
      </w:r>
      <w:r w:rsidRPr="00057B8A">
        <w:rPr>
          <w:rStyle w:val="Hypertextovodkaz"/>
          <w:rFonts w:cstheme="minorHAnsi"/>
          <w:color w:val="404040" w:themeColor="text1" w:themeTint="BF"/>
          <w:u w:val="none"/>
        </w:rPr>
        <w:t>lánek 3 doplňuje se definice řady nových technologií.</w:t>
      </w: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color w:val="404040" w:themeColor="text1" w:themeTint="BF"/>
          <w:u w:val="none"/>
        </w:rPr>
        <w:t>Kapitola 2 (povinnosti výrobce)</w:t>
      </w:r>
    </w:p>
    <w:p w:rsidR="005942E7" w:rsidRDefault="005942E7" w:rsidP="00B6003D">
      <w:pPr>
        <w:pStyle w:val="Odstavecseseznamem"/>
        <w:numPr>
          <w:ilvl w:val="0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4115AA">
        <w:rPr>
          <w:rStyle w:val="Hypertextovodkaz"/>
          <w:rFonts w:cstheme="minorHAnsi"/>
          <w:b/>
          <w:color w:val="404040" w:themeColor="text1" w:themeTint="BF"/>
          <w:u w:val="none"/>
        </w:rPr>
        <w:t>Článek 4 stanoví obecné technické požadavky pro schvalování typu vozidel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>, systémů, konstrukčních částí apod. Odkazuje se na přílohu I, která obsahuje seznam všech regulací OSN, jejichž plnění je v EU povinné, a přílohu II, která obsahuje podrobné informace o příslušných požadavcích na bezpečnost.</w:t>
      </w:r>
    </w:p>
    <w:p w:rsidR="005942E7" w:rsidRDefault="005942E7" w:rsidP="00B6003D">
      <w:pPr>
        <w:pStyle w:val="Odstavecseseznamem"/>
        <w:numPr>
          <w:ilvl w:val="0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Návrh předpokládá </w:t>
      </w:r>
      <w:r w:rsidRPr="004115AA">
        <w:rPr>
          <w:rStyle w:val="Hypertextovodkaz"/>
          <w:rFonts w:cstheme="minorHAnsi"/>
          <w:b/>
          <w:color w:val="404040" w:themeColor="text1" w:themeTint="BF"/>
          <w:u w:val="none"/>
        </w:rPr>
        <w:t>zmocnění Komise ke změně podrobných pravidel a technických požadavků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v aktech v přenesené pravomoci a změnám přílohy I a II tak, aby zohledňovaly technický pokrok a vývoj právních předpisů na úrovni OSN a EU.</w:t>
      </w:r>
    </w:p>
    <w:p w:rsidR="005942E7" w:rsidRPr="001D6C24" w:rsidRDefault="00316E66" w:rsidP="00B6003D">
      <w:pPr>
        <w:pStyle w:val="Odstavecseseznamem"/>
        <w:numPr>
          <w:ilvl w:val="0"/>
          <w:numId w:val="31"/>
        </w:numPr>
        <w:spacing w:after="0"/>
        <w:jc w:val="both"/>
        <w:rPr>
          <w:rStyle w:val="Hypertextovodkaz"/>
          <w:rFonts w:cstheme="minorHAnsi"/>
          <w:b/>
          <w:color w:val="404040" w:themeColor="text1" w:themeTint="BF"/>
          <w:u w:val="none"/>
        </w:rPr>
      </w:pPr>
      <w:hyperlink r:id="rId76" w:history="1">
        <w:r w:rsidR="005942E7" w:rsidRPr="001D6C24">
          <w:rPr>
            <w:rStyle w:val="Hypertextovodkaz"/>
            <w:rFonts w:ascii="Calibri" w:hAnsi="Calibri" w:cs="Calibri"/>
            <w:b/>
            <w:color w:val="4040FF" w:themeColor="hyperlink" w:themeTint="BF"/>
          </w:rPr>
          <w:t>Příloha</w:t>
        </w:r>
      </w:hyperlink>
      <w:r w:rsidR="005942E7" w:rsidRPr="001D6C24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 č. 2 stanoví pro jednotlivé typy vozid</w:t>
      </w:r>
      <w:r w:rsidR="005942E7">
        <w:rPr>
          <w:rStyle w:val="Hypertextovodkaz"/>
          <w:rFonts w:cstheme="minorHAnsi"/>
          <w:b/>
          <w:color w:val="404040" w:themeColor="text1" w:themeTint="BF"/>
          <w:u w:val="none"/>
        </w:rPr>
        <w:t>e</w:t>
      </w:r>
      <w:r w:rsidR="005942E7" w:rsidRPr="001D6C24">
        <w:rPr>
          <w:rStyle w:val="Hypertextovodkaz"/>
          <w:rFonts w:cstheme="minorHAnsi"/>
          <w:b/>
          <w:color w:val="404040" w:themeColor="text1" w:themeTint="BF"/>
          <w:u w:val="none"/>
        </w:rPr>
        <w:t>l technologie, bez nich</w:t>
      </w:r>
      <w:r w:rsidR="005942E7">
        <w:rPr>
          <w:rStyle w:val="Hypertextovodkaz"/>
          <w:rFonts w:cstheme="minorHAnsi"/>
          <w:b/>
          <w:color w:val="404040" w:themeColor="text1" w:themeTint="BF"/>
          <w:u w:val="none"/>
        </w:rPr>
        <w:t>ž</w:t>
      </w:r>
      <w:r w:rsidR="005942E7" w:rsidRPr="001D6C24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 vůz nemůže získat registraci/být schválen. </w:t>
      </w:r>
    </w:p>
    <w:p w:rsidR="005942E7" w:rsidRPr="00B71C22" w:rsidRDefault="005942E7" w:rsidP="00B6003D">
      <w:pPr>
        <w:pStyle w:val="Odstavecseseznamem"/>
        <w:numPr>
          <w:ilvl w:val="1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B71C22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Prvky skup. A </w:t>
      </w:r>
      <w:r w:rsidR="0035189A">
        <w:rPr>
          <w:rStyle w:val="Hypertextovodkaz"/>
          <w:rFonts w:cstheme="minorHAnsi"/>
          <w:b/>
          <w:color w:val="404040" w:themeColor="text1" w:themeTint="BF"/>
          <w:u w:val="none"/>
        </w:rPr>
        <w:t>-</w:t>
      </w:r>
      <w:r w:rsidRPr="00B71C22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 Od</w:t>
      </w:r>
      <w:r>
        <w:rPr>
          <w:rStyle w:val="Hypertextovodkaz"/>
          <w:rFonts w:cstheme="minorHAnsi"/>
          <w:b/>
          <w:color w:val="404040" w:themeColor="text1" w:themeTint="BF"/>
          <w:u w:val="none"/>
        </w:rPr>
        <w:t>e dne</w:t>
      </w:r>
      <w:r w:rsidRPr="00B71C22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 účinnosti nařízení ne</w:t>
      </w:r>
      <w:r w:rsidR="00904E9D">
        <w:rPr>
          <w:rStyle w:val="Hypertextovodkaz"/>
          <w:rFonts w:cstheme="minorHAnsi"/>
          <w:b/>
          <w:color w:val="404040" w:themeColor="text1" w:themeTint="BF"/>
          <w:u w:val="none"/>
        </w:rPr>
        <w:t>ní</w:t>
      </w:r>
      <w:r w:rsidRPr="00B71C22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 možná registrace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některých typů vozů </w:t>
      </w:r>
      <w:r w:rsidRPr="001D6C24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bez </w:t>
      </w:r>
      <w:r w:rsidR="00127EE6">
        <w:rPr>
          <w:rStyle w:val="Hypertextovodkaz"/>
          <w:rFonts w:cstheme="minorHAnsi"/>
          <w:b/>
          <w:color w:val="404040" w:themeColor="text1" w:themeTint="BF"/>
          <w:u w:val="none"/>
        </w:rPr>
        <w:t>vyjmenovaných</w:t>
      </w:r>
      <w:r w:rsidRPr="001D6C24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 </w:t>
      </w:r>
      <w:r w:rsidR="00D628BC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již zavedených </w:t>
      </w:r>
      <w:r w:rsidRPr="001D6C24">
        <w:rPr>
          <w:rStyle w:val="Hypertextovodkaz"/>
          <w:rFonts w:cstheme="minorHAnsi"/>
          <w:b/>
          <w:color w:val="404040" w:themeColor="text1" w:themeTint="BF"/>
          <w:u w:val="none"/>
        </w:rPr>
        <w:t>technologií</w:t>
      </w:r>
      <w:r>
        <w:rPr>
          <w:rStyle w:val="Hypertextovodkaz"/>
          <w:rFonts w:cstheme="minorHAnsi"/>
          <w:b/>
          <w:color w:val="404040" w:themeColor="text1" w:themeTint="BF"/>
          <w:u w:val="none"/>
        </w:rPr>
        <w:t>.</w:t>
      </w:r>
    </w:p>
    <w:p w:rsidR="005942E7" w:rsidRDefault="005942E7" w:rsidP="00B6003D">
      <w:pPr>
        <w:pStyle w:val="Odstavecseseznamem"/>
        <w:numPr>
          <w:ilvl w:val="1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Prvky skup. B - </w:t>
      </w:r>
      <w:r w:rsidRPr="001D6C24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Po 24 měsících </w:t>
      </w:r>
      <w:r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od účinnosti nařízení </w:t>
      </w:r>
      <w:r w:rsidRPr="001D6C24">
        <w:rPr>
          <w:rStyle w:val="Hypertextovodkaz"/>
          <w:rFonts w:cstheme="minorHAnsi"/>
          <w:b/>
          <w:color w:val="404040" w:themeColor="text1" w:themeTint="BF"/>
          <w:u w:val="none"/>
        </w:rPr>
        <w:t>nebude možná registrace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některých typů vozů např. </w:t>
      </w:r>
      <w:r w:rsidRPr="001D6C24">
        <w:rPr>
          <w:rStyle w:val="Hypertextovodkaz"/>
          <w:rFonts w:cstheme="minorHAnsi"/>
          <w:b/>
          <w:color w:val="404040" w:themeColor="text1" w:themeTint="BF"/>
          <w:u w:val="none"/>
        </w:rPr>
        <w:t>bez těchto technologií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(s tím, že od</w:t>
      </w:r>
      <w:r>
        <w:rPr>
          <w:rStyle w:val="Hypertextovodkaz"/>
          <w:rFonts w:cstheme="minorHAnsi"/>
          <w:color w:val="404040" w:themeColor="text1" w:themeTint="BF"/>
          <w:u w:val="none"/>
        </w:rPr>
        <w:t>e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</w:t>
      </w:r>
      <w:r>
        <w:rPr>
          <w:rStyle w:val="Hypertextovodkaz"/>
          <w:rFonts w:cstheme="minorHAnsi"/>
          <w:color w:val="404040" w:themeColor="text1" w:themeTint="BF"/>
          <w:u w:val="none"/>
        </w:rPr>
        <w:t>dne účinnosti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nebude 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bez nich 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>možné schvalování typu motorových vozidel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, </w:t>
      </w:r>
      <w:r w:rsidR="00E47C3E">
        <w:rPr>
          <w:rStyle w:val="Hypertextovodkaz"/>
          <w:rFonts w:cstheme="minorHAnsi"/>
          <w:color w:val="404040" w:themeColor="text1" w:themeTint="BF"/>
          <w:u w:val="none"/>
        </w:rPr>
        <w:t xml:space="preserve">účinnost nařízení </w:t>
      </w:r>
      <w:r>
        <w:rPr>
          <w:rStyle w:val="Hypertextovodkaz"/>
          <w:rFonts w:cstheme="minorHAnsi"/>
          <w:color w:val="404040" w:themeColor="text1" w:themeTint="BF"/>
          <w:u w:val="none"/>
        </w:rPr>
        <w:t>je 36 měsíců od</w:t>
      </w:r>
      <w:r w:rsidR="00E47C3E">
        <w:rPr>
          <w:rStyle w:val="Hypertextovodkaz"/>
          <w:rFonts w:cstheme="minorHAnsi"/>
          <w:color w:val="404040" w:themeColor="text1" w:themeTint="BF"/>
          <w:u w:val="none"/>
        </w:rPr>
        <w:t xml:space="preserve"> platnosti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): </w:t>
      </w:r>
      <w:r w:rsidR="00AD2A4A">
        <w:rPr>
          <w:rStyle w:val="Hypertextovodkaz"/>
          <w:rFonts w:cstheme="minorHAnsi"/>
          <w:color w:val="404040" w:themeColor="text1" w:themeTint="BF"/>
          <w:u w:val="none"/>
        </w:rPr>
        <w:t xml:space="preserve">záznamové zařízení - 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„černá skřínka“, systém na rozpoznání pozornosti řidiče, </w:t>
      </w:r>
      <w:r w:rsidR="00AD2A4A">
        <w:rPr>
          <w:rStyle w:val="Hypertextovodkaz"/>
          <w:rFonts w:cstheme="minorHAnsi"/>
          <w:color w:val="404040" w:themeColor="text1" w:themeTint="BF"/>
          <w:u w:val="none"/>
        </w:rPr>
        <w:t>bezpečného couvání,</w:t>
      </w:r>
      <w:r w:rsidR="00AD2A4A"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>na zabránění jízdy v opilosti, monitorování tlaku v pneumatikách, upozornění na kolize</w:t>
      </w:r>
      <w:r w:rsidR="00127EE6">
        <w:rPr>
          <w:rStyle w:val="Hypertextovodkaz"/>
          <w:rFonts w:cstheme="minorHAnsi"/>
          <w:color w:val="404040" w:themeColor="text1" w:themeTint="BF"/>
          <w:u w:val="none"/>
        </w:rPr>
        <w:t>, rozšíření zóny nárazu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s chodci a cyklisty</w:t>
      </w:r>
      <w:r w:rsidR="00904E9D">
        <w:rPr>
          <w:rStyle w:val="Hypertextovodkaz"/>
          <w:rFonts w:cstheme="minorHAnsi"/>
          <w:color w:val="404040" w:themeColor="text1" w:themeTint="BF"/>
          <w:u w:val="none"/>
        </w:rPr>
        <w:t>)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>.</w:t>
      </w:r>
    </w:p>
    <w:p w:rsidR="005942E7" w:rsidRDefault="005942E7" w:rsidP="00B6003D">
      <w:pPr>
        <w:pStyle w:val="Odstavecseseznamem"/>
        <w:numPr>
          <w:ilvl w:val="1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Prvky skup. C - </w:t>
      </w:r>
      <w:r w:rsidRPr="001D6C24">
        <w:rPr>
          <w:rStyle w:val="Hypertextovodkaz"/>
          <w:rFonts w:cstheme="minorHAnsi"/>
          <w:b/>
          <w:color w:val="404040" w:themeColor="text1" w:themeTint="BF"/>
          <w:u w:val="none"/>
        </w:rPr>
        <w:t>Po 48 měsících nebude možná registrace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např. bez těchto technologií (s</w:t>
      </w:r>
      <w:r>
        <w:rPr>
          <w:rStyle w:val="Hypertextovodkaz"/>
          <w:rFonts w:cstheme="minorHAnsi"/>
          <w:color w:val="404040" w:themeColor="text1" w:themeTint="BF"/>
          <w:u w:val="none"/>
        </w:rPr>
        <w:t> 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>tím, že od 24 měsíců od</w:t>
      </w:r>
      <w:r>
        <w:rPr>
          <w:rStyle w:val="Hypertextovodkaz"/>
          <w:rFonts w:cstheme="minorHAnsi"/>
          <w:color w:val="404040" w:themeColor="text1" w:themeTint="BF"/>
          <w:u w:val="none"/>
        </w:rPr>
        <w:t>e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</w:t>
      </w:r>
      <w:r>
        <w:rPr>
          <w:rStyle w:val="Hypertextovodkaz"/>
          <w:rFonts w:cstheme="minorHAnsi"/>
          <w:color w:val="404040" w:themeColor="text1" w:themeTint="BF"/>
          <w:u w:val="none"/>
        </w:rPr>
        <w:t>dne účinnosti</w:t>
      </w:r>
      <w:r w:rsidRPr="001D6C24">
        <w:rPr>
          <w:rStyle w:val="Hypertextovodkaz"/>
          <w:rFonts w:cstheme="minorHAnsi"/>
          <w:color w:val="404040" w:themeColor="text1" w:themeTint="BF"/>
          <w:u w:val="none"/>
        </w:rPr>
        <w:t xml:space="preserve"> nebude možné schvalování typu): pokročilé systémy nouzového brzdění či pokročilé rozpoznávání rozptýlení řidiče.</w:t>
      </w:r>
    </w:p>
    <w:p w:rsidR="005942E7" w:rsidRDefault="005942E7" w:rsidP="00B6003D">
      <w:pPr>
        <w:pStyle w:val="Odstavecseseznamem"/>
        <w:numPr>
          <w:ilvl w:val="1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b/>
          <w:color w:val="404040" w:themeColor="text1" w:themeTint="BF"/>
          <w:u w:val="none"/>
        </w:rPr>
        <w:lastRenderedPageBreak/>
        <w:t xml:space="preserve">Prvky skup. D - </w:t>
      </w:r>
      <w:r w:rsidRPr="004115AA">
        <w:rPr>
          <w:rStyle w:val="Hypertextovodkaz"/>
          <w:rFonts w:cstheme="minorHAnsi"/>
          <w:b/>
          <w:color w:val="404040" w:themeColor="text1" w:themeTint="BF"/>
          <w:u w:val="none"/>
        </w:rPr>
        <w:t>Po 84 měsících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nebude možná registrace těžkých nákladních vozidel bez přímého výhledu řidiče („direct vision“) s tím, že od 48 měsíců od</w:t>
      </w:r>
      <w:r>
        <w:rPr>
          <w:rStyle w:val="Hypertextovodkaz"/>
          <w:rFonts w:cstheme="minorHAnsi"/>
          <w:color w:val="404040" w:themeColor="text1" w:themeTint="BF"/>
          <w:u w:val="none"/>
        </w:rPr>
        <w:t>e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</w:t>
      </w:r>
      <w:r>
        <w:rPr>
          <w:rStyle w:val="Hypertextovodkaz"/>
          <w:rFonts w:cstheme="minorHAnsi"/>
          <w:color w:val="404040" w:themeColor="text1" w:themeTint="BF"/>
          <w:u w:val="none"/>
        </w:rPr>
        <w:t>dne účinnosti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nebude  možné schvalování t</w:t>
      </w:r>
      <w:r w:rsidR="002C5F70">
        <w:rPr>
          <w:rStyle w:val="Hypertextovodkaz"/>
          <w:rFonts w:cstheme="minorHAnsi"/>
          <w:color w:val="404040" w:themeColor="text1" w:themeTint="BF"/>
          <w:u w:val="none"/>
        </w:rPr>
        <w:t>ypu t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>ohoto motorového vozidla.</w:t>
      </w:r>
    </w:p>
    <w:p w:rsidR="005942E7" w:rsidRDefault="005942E7" w:rsidP="00B6003D">
      <w:pPr>
        <w:pStyle w:val="Odstavecseseznamem"/>
        <w:numPr>
          <w:ilvl w:val="1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Příloha určuje povinné </w:t>
      </w:r>
      <w:r>
        <w:rPr>
          <w:rStyle w:val="Hypertextovodkaz"/>
          <w:rFonts w:cstheme="minorHAnsi"/>
          <w:color w:val="404040" w:themeColor="text1" w:themeTint="BF"/>
          <w:u w:val="none"/>
        </w:rPr>
        <w:t>prvky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např. 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pro 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>autonomní vozidla a další výjimky a specifikace.</w:t>
      </w:r>
    </w:p>
    <w:p w:rsidR="005942E7" w:rsidRDefault="005942E7" w:rsidP="00B6003D">
      <w:pPr>
        <w:pStyle w:val="Odstavecseseznamem"/>
        <w:numPr>
          <w:ilvl w:val="0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4115AA">
        <w:rPr>
          <w:rStyle w:val="Hypertextovodkaz"/>
          <w:rFonts w:cstheme="minorHAnsi"/>
          <w:color w:val="404040" w:themeColor="text1" w:themeTint="BF"/>
          <w:u w:val="none"/>
        </w:rPr>
        <w:t>Článek 5 rozšiřuje oblast působnosti systému monitorování tlaku v pneumatikách na všechny kategorie vozidel.</w:t>
      </w:r>
    </w:p>
    <w:p w:rsidR="005942E7" w:rsidRDefault="005942E7" w:rsidP="00B6003D">
      <w:pPr>
        <w:pStyle w:val="Odstavecseseznamem"/>
        <w:numPr>
          <w:ilvl w:val="0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Článek 6 vyžaduje </w:t>
      </w:r>
      <w:r w:rsidRPr="004115AA">
        <w:rPr>
          <w:rStyle w:val="Hypertextovodkaz"/>
          <w:rFonts w:cstheme="minorHAnsi"/>
          <w:b/>
          <w:color w:val="404040" w:themeColor="text1" w:themeTint="BF"/>
          <w:u w:val="none"/>
        </w:rPr>
        <w:t>řadu pokročilých bezpečnostních prvků vozidel pro všechna vozidla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(např. inteligentní asistent rychlosti, systém na rozpoznání pozornosti řidiče, detekce zpětného chodu).</w:t>
      </w:r>
    </w:p>
    <w:p w:rsidR="005942E7" w:rsidRDefault="005942E7" w:rsidP="00B6003D">
      <w:pPr>
        <w:pStyle w:val="Odstavecseseznamem"/>
        <w:numPr>
          <w:ilvl w:val="0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Článek 7 stanoví </w:t>
      </w:r>
      <w:r w:rsidRPr="004115AA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zvláštní požadavky </w:t>
      </w:r>
      <w:r>
        <w:rPr>
          <w:rStyle w:val="Hypertextovodkaz"/>
          <w:rFonts w:cstheme="minorHAnsi"/>
          <w:b/>
          <w:color w:val="404040" w:themeColor="text1" w:themeTint="BF"/>
          <w:u w:val="none"/>
        </w:rPr>
        <w:t>pro</w:t>
      </w:r>
      <w:r w:rsidRPr="004115AA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 osobní automobily a dodávky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a vyžaduje, aby byly vybaveny z</w:t>
      </w:r>
      <w:r w:rsidR="002F62F9">
        <w:rPr>
          <w:rStyle w:val="Hypertextovodkaz"/>
          <w:rFonts w:cstheme="minorHAnsi"/>
          <w:color w:val="404040" w:themeColor="text1" w:themeTint="BF"/>
          <w:u w:val="none"/>
        </w:rPr>
        <w:t>áznamovým zařízením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událost</w:t>
      </w:r>
      <w:r w:rsidR="002F62F9">
        <w:rPr>
          <w:rStyle w:val="Hypertextovodkaz"/>
          <w:rFonts w:cstheme="minorHAnsi"/>
          <w:color w:val="404040" w:themeColor="text1" w:themeTint="BF"/>
          <w:u w:val="none"/>
        </w:rPr>
        <w:t>í/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>nehod a aby byly navrženy a zkonstruovány s</w:t>
      </w:r>
      <w:r>
        <w:rPr>
          <w:rStyle w:val="Hypertextovodkaz"/>
          <w:rFonts w:cstheme="minorHAnsi"/>
          <w:color w:val="404040" w:themeColor="text1" w:themeTint="BF"/>
          <w:u w:val="none"/>
        </w:rPr>
        <w:t> 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>rozšířenou ochranou proti nárazu hlavy pro zranitelné účastníky silničního provozu.</w:t>
      </w:r>
    </w:p>
    <w:p w:rsidR="005942E7" w:rsidRDefault="005942E7" w:rsidP="00B6003D">
      <w:pPr>
        <w:pStyle w:val="Odstavecseseznamem"/>
        <w:numPr>
          <w:ilvl w:val="0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4115AA">
        <w:rPr>
          <w:rStyle w:val="Hypertextovodkaz"/>
          <w:rFonts w:cstheme="minorHAnsi"/>
          <w:color w:val="404040" w:themeColor="text1" w:themeTint="BF"/>
          <w:u w:val="none"/>
        </w:rPr>
        <w:t>Článek 8 stanoví požadavky na systémy čelní ochrany.</w:t>
      </w:r>
    </w:p>
    <w:p w:rsidR="005942E7" w:rsidRDefault="005942E7" w:rsidP="00B6003D">
      <w:pPr>
        <w:pStyle w:val="Odstavecseseznamem"/>
        <w:numPr>
          <w:ilvl w:val="0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Článek 9 stanoví </w:t>
      </w:r>
      <w:r w:rsidRPr="004115AA">
        <w:rPr>
          <w:rStyle w:val="Hypertextovodkaz"/>
          <w:rFonts w:cstheme="minorHAnsi"/>
          <w:b/>
          <w:color w:val="404040" w:themeColor="text1" w:themeTint="BF"/>
          <w:u w:val="none"/>
        </w:rPr>
        <w:t>zvláštní požadavky pro nákladní automobily a autobusy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a zejména vyžaduje, aby byly vybaveny detekčním a výstražným systémem pro zranitelné účastníky silničního provozu v</w:t>
      </w:r>
      <w:r>
        <w:rPr>
          <w:rStyle w:val="Hypertextovodkaz"/>
          <w:rFonts w:cstheme="minorHAnsi"/>
          <w:color w:val="404040" w:themeColor="text1" w:themeTint="BF"/>
          <w:u w:val="none"/>
        </w:rPr>
        <w:t> 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>blízkosti vozidla a aby byly navrženy a konstruovány tak, aby se zlepšila viditelnost zranitelných účastníků silničního provozu ze sedadla řidiče.</w:t>
      </w:r>
    </w:p>
    <w:p w:rsidR="005942E7" w:rsidRDefault="005942E7" w:rsidP="00B6003D">
      <w:pPr>
        <w:pStyle w:val="Odstavecseseznamem"/>
        <w:numPr>
          <w:ilvl w:val="0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Článek 10 stanoví </w:t>
      </w:r>
      <w:r w:rsidRPr="004115AA">
        <w:rPr>
          <w:rStyle w:val="Hypertextovodkaz"/>
          <w:rFonts w:cstheme="minorHAnsi"/>
          <w:b/>
          <w:color w:val="404040" w:themeColor="text1" w:themeTint="BF"/>
          <w:u w:val="none"/>
        </w:rPr>
        <w:t>zvláštní požadavky pro vozidla na vodíkový pohon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a příloha V obsahuje požadavky materiál</w:t>
      </w:r>
      <w:r>
        <w:rPr>
          <w:rStyle w:val="Hypertextovodkaz"/>
          <w:rFonts w:cstheme="minorHAnsi"/>
          <w:color w:val="404040" w:themeColor="text1" w:themeTint="BF"/>
          <w:u w:val="none"/>
        </w:rPr>
        <w:t>ů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pro vodíkové systémy a jejich součásti.</w:t>
      </w:r>
    </w:p>
    <w:p w:rsidR="005942E7" w:rsidRPr="004115AA" w:rsidRDefault="005942E7" w:rsidP="00B6003D">
      <w:pPr>
        <w:pStyle w:val="Odstavecseseznamem"/>
        <w:numPr>
          <w:ilvl w:val="0"/>
          <w:numId w:val="31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Článek 11 stanoví </w:t>
      </w:r>
      <w:r w:rsidRPr="004115AA">
        <w:rPr>
          <w:rStyle w:val="Hypertextovodkaz"/>
          <w:rFonts w:cstheme="minorHAnsi"/>
          <w:b/>
          <w:color w:val="404040" w:themeColor="text1" w:themeTint="BF"/>
          <w:u w:val="none"/>
        </w:rPr>
        <w:t>zvláštní požadavky pro automatizovaná vozidla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a zejména obsahuje seznam </w:t>
      </w:r>
      <w:r>
        <w:rPr>
          <w:rStyle w:val="Hypertextovodkaz"/>
          <w:rFonts w:cstheme="minorHAnsi"/>
          <w:color w:val="404040" w:themeColor="text1" w:themeTint="BF"/>
          <w:u w:val="none"/>
        </w:rPr>
        <w:t>v 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>oblast</w:t>
      </w:r>
      <w:r>
        <w:rPr>
          <w:rStyle w:val="Hypertextovodkaz"/>
          <w:rFonts w:cstheme="minorHAnsi"/>
          <w:color w:val="404040" w:themeColor="text1" w:themeTint="BF"/>
          <w:u w:val="none"/>
        </w:rPr>
        <w:t>i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bezpečnosti, pro kter</w:t>
      </w:r>
      <w:r>
        <w:rPr>
          <w:rStyle w:val="Hypertextovodkaz"/>
          <w:rFonts w:cstheme="minorHAnsi"/>
          <w:color w:val="404040" w:themeColor="text1" w:themeTint="BF"/>
          <w:u w:val="none"/>
        </w:rPr>
        <w:t>ý</w:t>
      </w:r>
      <w:r w:rsidRPr="004115AA">
        <w:rPr>
          <w:rStyle w:val="Hypertextovodkaz"/>
          <w:rFonts w:cstheme="minorHAnsi"/>
          <w:color w:val="404040" w:themeColor="text1" w:themeTint="BF"/>
          <w:u w:val="none"/>
        </w:rPr>
        <w:t xml:space="preserve"> je třeba dále rozvíjet podrobná pravidla a normy.</w:t>
      </w: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color w:val="404040" w:themeColor="text1" w:themeTint="BF"/>
          <w:u w:val="none"/>
        </w:rPr>
        <w:t>Kapitola III (Závěrečná ustanovení)</w:t>
      </w:r>
    </w:p>
    <w:p w:rsidR="005942E7" w:rsidRDefault="005942E7" w:rsidP="00B6003D">
      <w:pPr>
        <w:pStyle w:val="Odstavecseseznamem"/>
        <w:numPr>
          <w:ilvl w:val="0"/>
          <w:numId w:val="32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362B34">
        <w:rPr>
          <w:rStyle w:val="Hypertextovodkaz"/>
          <w:rFonts w:cstheme="minorHAnsi"/>
          <w:color w:val="404040" w:themeColor="text1" w:themeTint="BF"/>
          <w:u w:val="none"/>
        </w:rPr>
        <w:t xml:space="preserve">Navrhuje se </w:t>
      </w:r>
      <w:r w:rsidRPr="00362B34">
        <w:rPr>
          <w:rStyle w:val="Hypertextovodkaz"/>
          <w:rFonts w:cstheme="minorHAnsi"/>
          <w:b/>
          <w:color w:val="404040" w:themeColor="text1" w:themeTint="BF"/>
          <w:u w:val="none"/>
        </w:rPr>
        <w:t>zmocnit Komisi k přijímání aktů</w:t>
      </w:r>
      <w:r w:rsidRPr="00362B34">
        <w:rPr>
          <w:rStyle w:val="Hypertextovodkaz"/>
          <w:rFonts w:cstheme="minorHAnsi"/>
          <w:color w:val="404040" w:themeColor="text1" w:themeTint="BF"/>
          <w:u w:val="none"/>
        </w:rPr>
        <w:t xml:space="preserve"> v přenesené pravomoci </w:t>
      </w:r>
      <w:r w:rsidRPr="00362B34">
        <w:rPr>
          <w:rStyle w:val="Hypertextovodkaz"/>
          <w:rFonts w:cstheme="minorHAnsi"/>
          <w:b/>
          <w:color w:val="404040" w:themeColor="text1" w:themeTint="BF"/>
          <w:u w:val="none"/>
        </w:rPr>
        <w:t>s cílem aktualizovat přílohy s ohledem na technický pokrok a regulační vývoj</w:t>
      </w:r>
      <w:r w:rsidRPr="00362B34">
        <w:rPr>
          <w:rStyle w:val="Hypertextovodkaz"/>
          <w:rFonts w:cstheme="minorHAnsi"/>
          <w:color w:val="404040" w:themeColor="text1" w:themeTint="BF"/>
          <w:u w:val="none"/>
        </w:rPr>
        <w:t>, jakož i stanovit podrobná pravidla týkající se zvláštních postupů, zkoušek a technických požadavků pro schvalování typu vozidel, systémů, konstrukčních částí a</w:t>
      </w:r>
      <w:r>
        <w:rPr>
          <w:rStyle w:val="Hypertextovodkaz"/>
          <w:rFonts w:cstheme="minorHAnsi"/>
          <w:color w:val="404040" w:themeColor="text1" w:themeTint="BF"/>
          <w:u w:val="none"/>
        </w:rPr>
        <w:t>pod.</w:t>
      </w:r>
      <w:r w:rsidRPr="00362B34">
        <w:rPr>
          <w:rStyle w:val="Hypertextovodkaz"/>
          <w:rFonts w:cstheme="minorHAnsi"/>
          <w:color w:val="404040" w:themeColor="text1" w:themeTint="BF"/>
          <w:u w:val="none"/>
        </w:rPr>
        <w:t xml:space="preserve"> s ohledem na zvláštní požadavky stanovené v tomto návrhu. Článek 12 upřesňuje podmínky přenesených pravomocí Komis</w:t>
      </w:r>
      <w:r>
        <w:rPr>
          <w:rStyle w:val="Hypertextovodkaz"/>
          <w:rFonts w:cstheme="minorHAnsi"/>
          <w:color w:val="404040" w:themeColor="text1" w:themeTint="BF"/>
          <w:u w:val="none"/>
        </w:rPr>
        <w:t>e</w:t>
      </w:r>
      <w:r w:rsidRPr="00362B34">
        <w:rPr>
          <w:rStyle w:val="Hypertextovodkaz"/>
          <w:rFonts w:cstheme="minorHAnsi"/>
          <w:color w:val="404040" w:themeColor="text1" w:themeTint="BF"/>
          <w:u w:val="none"/>
        </w:rPr>
        <w:t>.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 </w:t>
      </w:r>
      <w:r w:rsidRPr="002F62F9">
        <w:rPr>
          <w:rStyle w:val="Hypertextovodkaz"/>
          <w:rFonts w:cstheme="minorHAnsi"/>
          <w:b/>
          <w:color w:val="404040" w:themeColor="text1" w:themeTint="BF"/>
          <w:u w:val="none"/>
        </w:rPr>
        <w:t>Akty vstoupí v platnost, pokud do dvou měsíců od oznámení nebyly ze strany Rady a EP vyjádřeny žádné připomínky</w:t>
      </w:r>
      <w:r>
        <w:rPr>
          <w:rStyle w:val="Hypertextovodkaz"/>
          <w:rFonts w:cstheme="minorHAnsi"/>
          <w:color w:val="404040" w:themeColor="text1" w:themeTint="BF"/>
          <w:u w:val="none"/>
        </w:rPr>
        <w:t>.</w:t>
      </w:r>
    </w:p>
    <w:p w:rsidR="005942E7" w:rsidRPr="00362B34" w:rsidRDefault="005942E7" w:rsidP="00B6003D">
      <w:pPr>
        <w:pStyle w:val="Odstavecseseznamem"/>
        <w:numPr>
          <w:ilvl w:val="0"/>
          <w:numId w:val="32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362B34">
        <w:rPr>
          <w:rStyle w:val="Hypertextovodkaz"/>
          <w:rFonts w:cstheme="minorHAnsi"/>
          <w:color w:val="404040" w:themeColor="text1" w:themeTint="BF"/>
          <w:u w:val="none"/>
        </w:rPr>
        <w:t xml:space="preserve">Článek 17 stanoví datum </w:t>
      </w:r>
      <w:r w:rsidRPr="00362B34">
        <w:rPr>
          <w:rStyle w:val="Hypertextovodkaz"/>
          <w:rFonts w:cstheme="minorHAnsi"/>
          <w:b/>
          <w:color w:val="404040" w:themeColor="text1" w:themeTint="BF"/>
          <w:u w:val="none"/>
        </w:rPr>
        <w:t>účinnosti nařízení – 36 měsíců po vstupu v platnost</w:t>
      </w:r>
      <w:r w:rsidRPr="00362B34">
        <w:rPr>
          <w:rStyle w:val="Hypertextovodkaz"/>
          <w:rFonts w:cstheme="minorHAnsi"/>
          <w:color w:val="404040" w:themeColor="text1" w:themeTint="BF"/>
          <w:u w:val="none"/>
        </w:rPr>
        <w:t>.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 Platnost je 20 dní po vyhlášení v Úředním věstníku EU.</w:t>
      </w:r>
      <w:r w:rsidRPr="00362B34">
        <w:rPr>
          <w:rStyle w:val="Hypertextovodkaz"/>
          <w:rFonts w:cstheme="minorHAnsi"/>
          <w:color w:val="404040" w:themeColor="text1" w:themeTint="BF"/>
          <w:u w:val="none"/>
        </w:rPr>
        <w:t xml:space="preserve"> To umožní Komisi předem přijmout příslušné akty v přenesené pravomoci a poskytnout výrobcům dostatek času k přizpůsobení se novým požadavkům.</w:t>
      </w: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</w:p>
    <w:p w:rsidR="005942E7" w:rsidRDefault="005942E7" w:rsidP="005942E7">
      <w:pPr>
        <w:rPr>
          <w:rStyle w:val="Hypertextovodkaz"/>
          <w:rFonts w:cstheme="minorHAnsi"/>
          <w:color w:val="404040" w:themeColor="text1" w:themeTint="BF"/>
          <w:u w:val="none"/>
        </w:rPr>
      </w:pPr>
      <w:r>
        <w:rPr>
          <w:rStyle w:val="Hypertextovodkaz"/>
          <w:rFonts w:cstheme="minorHAnsi"/>
          <w:color w:val="404040" w:themeColor="text1" w:themeTint="BF"/>
          <w:u w:val="none"/>
        </w:rPr>
        <w:br w:type="page"/>
      </w: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4" w:name="_Ref515184416"/>
      <w:r w:rsidRPr="00202254">
        <w:rPr>
          <w:b/>
          <w:color w:val="404040" w:themeColor="text1" w:themeTint="BF"/>
        </w:rPr>
        <w:lastRenderedPageBreak/>
        <w:t>Revize směrnice o řízení bezpečnosti silniční infrastruktury</w:t>
      </w:r>
      <w:r w:rsidR="00315741">
        <w:rPr>
          <w:b/>
          <w:color w:val="404040" w:themeColor="text1" w:themeTint="BF"/>
        </w:rPr>
        <w:tab/>
      </w:r>
      <w:r w:rsidR="00315741">
        <w:rPr>
          <w:b/>
          <w:color w:val="404040" w:themeColor="text1" w:themeTint="BF"/>
        </w:rPr>
        <w:tab/>
      </w:r>
      <w:r w:rsidR="00315741">
        <w:rPr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  <w:bookmarkEnd w:id="4"/>
    </w:p>
    <w:p w:rsidR="005942E7" w:rsidRPr="005F3A94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77" w:history="1">
        <w:r w:rsidR="005942E7" w:rsidRPr="005F3A94">
          <w:rPr>
            <w:rStyle w:val="Hypertextovodkaz"/>
            <w:rFonts w:ascii="Calibri" w:hAnsi="Calibri" w:cs="Calibri"/>
            <w:b/>
            <w:sz w:val="20"/>
          </w:rPr>
          <w:t>Návrh směrnice, kterou se mění směrnice 2008/96/ES o řízení bezpečnosti silniční infrastruktury</w:t>
        </w:r>
      </w:hyperlink>
    </w:p>
    <w:p w:rsidR="005942E7" w:rsidRPr="005F3A9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78" w:history="1">
        <w:r w:rsidR="005942E7" w:rsidRPr="005F3A94">
          <w:rPr>
            <w:rStyle w:val="Hypertextovodkaz"/>
            <w:rFonts w:ascii="Calibri" w:hAnsi="Calibri" w:cs="Calibri"/>
            <w:sz w:val="20"/>
          </w:rPr>
          <w:t>Příloha k návrhu</w:t>
        </w:r>
      </w:hyperlink>
    </w:p>
    <w:p w:rsidR="005942E7" w:rsidRPr="005F3A94" w:rsidRDefault="005942E7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r w:rsidRPr="005F3A94">
        <w:rPr>
          <w:rFonts w:ascii="Calibri" w:hAnsi="Calibri" w:cs="Calibri"/>
          <w:color w:val="404040" w:themeColor="text1" w:themeTint="BF"/>
          <w:sz w:val="20"/>
        </w:rPr>
        <w:t xml:space="preserve">Posouzení dopadů – </w:t>
      </w:r>
      <w:hyperlink r:id="rId79" w:history="1">
        <w:r w:rsidRPr="005F3A94">
          <w:rPr>
            <w:rStyle w:val="Hypertextovodkaz"/>
            <w:rFonts w:ascii="Calibri" w:hAnsi="Calibri" w:cs="Calibri"/>
            <w:sz w:val="20"/>
          </w:rPr>
          <w:t>část I</w:t>
        </w:r>
      </w:hyperlink>
      <w:r w:rsidRPr="005F3A94">
        <w:rPr>
          <w:rFonts w:ascii="Calibri" w:hAnsi="Calibri" w:cs="Calibri"/>
          <w:color w:val="404040" w:themeColor="text1" w:themeTint="BF"/>
          <w:sz w:val="20"/>
        </w:rPr>
        <w:t xml:space="preserve"> a </w:t>
      </w:r>
      <w:hyperlink r:id="rId80" w:history="1">
        <w:r w:rsidRPr="005F3A94">
          <w:rPr>
            <w:rStyle w:val="Hypertextovodkaz"/>
            <w:rFonts w:ascii="Calibri" w:hAnsi="Calibri" w:cs="Calibri"/>
            <w:sz w:val="20"/>
          </w:rPr>
          <w:t>část II</w:t>
        </w:r>
      </w:hyperlink>
    </w:p>
    <w:p w:rsidR="005942E7" w:rsidRPr="005F3A9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81" w:history="1">
        <w:r w:rsidR="005942E7" w:rsidRPr="005F3A94">
          <w:rPr>
            <w:rStyle w:val="Hypertextovodkaz"/>
            <w:rFonts w:ascii="Calibri" w:hAnsi="Calibri" w:cs="Calibri"/>
            <w:sz w:val="20"/>
          </w:rPr>
          <w:t>Shrnutí posouzení dopadů</w:t>
        </w:r>
      </w:hyperlink>
    </w:p>
    <w:p w:rsidR="005942E7" w:rsidRPr="005F3A94" w:rsidRDefault="005942E7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r w:rsidRPr="005F3A94">
        <w:rPr>
          <w:rFonts w:ascii="Calibri" w:hAnsi="Calibri" w:cs="Calibri"/>
          <w:color w:val="404040" w:themeColor="text1" w:themeTint="BF"/>
          <w:sz w:val="20"/>
        </w:rPr>
        <w:t xml:space="preserve">Hodnocení ex-post – studie k účinnosti a zdokonalení legislativního rámce EU pro řízení bezpečnosti silniční infrastruktury (směrnice 2008/96 / ES): </w:t>
      </w:r>
      <w:hyperlink r:id="rId82" w:history="1">
        <w:r w:rsidRPr="005F3A94">
          <w:rPr>
            <w:rStyle w:val="Hypertextovodkaz"/>
            <w:rFonts w:ascii="Calibri" w:hAnsi="Calibri" w:cs="Calibri"/>
            <w:sz w:val="20"/>
          </w:rPr>
          <w:t>závěrečná zpráva</w:t>
        </w:r>
      </w:hyperlink>
    </w:p>
    <w:p w:rsidR="005942E7" w:rsidRPr="005F3A94" w:rsidRDefault="005942E7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r w:rsidRPr="005F3A94">
        <w:rPr>
          <w:rFonts w:ascii="Calibri" w:hAnsi="Calibri" w:cs="Calibri"/>
          <w:color w:val="404040" w:themeColor="text1" w:themeTint="BF"/>
          <w:sz w:val="20"/>
        </w:rPr>
        <w:t>Revize bezpečnostních směrnic pro vozidla a pro bezpečnost chodců</w:t>
      </w:r>
    </w:p>
    <w:p w:rsidR="005942E7" w:rsidRPr="005F3A9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83" w:history="1">
        <w:r w:rsidR="005942E7" w:rsidRPr="005F3A94">
          <w:rPr>
            <w:rStyle w:val="Hypertextovodkaz"/>
            <w:rFonts w:ascii="Calibri" w:hAnsi="Calibri" w:cs="Calibri"/>
            <w:sz w:val="20"/>
          </w:rPr>
          <w:t>Studie o implementaci a účincích směrnice 2004/54/ES o minimálních bezpečnostních požadavcích na tunely transevropské silniční sítě</w:t>
        </w:r>
      </w:hyperlink>
    </w:p>
    <w:p w:rsidR="005942E7" w:rsidRPr="005F3A9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84" w:history="1">
        <w:r w:rsidR="005942E7" w:rsidRPr="005F3A94">
          <w:rPr>
            <w:rStyle w:val="Hypertextovodkaz"/>
            <w:rFonts w:ascii="Calibri" w:hAnsi="Calibri" w:cs="Calibri"/>
            <w:sz w:val="20"/>
          </w:rPr>
          <w:t>Shrnutí studie</w:t>
        </w:r>
      </w:hyperlink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</w:p>
    <w:p w:rsidR="005942E7" w:rsidRPr="00A33247" w:rsidRDefault="00316E66" w:rsidP="005942E7">
      <w:p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hyperlink r:id="rId85" w:history="1">
        <w:r w:rsidR="005942E7" w:rsidRPr="00A33247">
          <w:rPr>
            <w:rStyle w:val="Hypertextovodkaz"/>
            <w:rFonts w:ascii="Calibri" w:hAnsi="Calibri" w:cs="Calibri"/>
            <w:b/>
          </w:rPr>
          <w:t>Návrh směrnice, kterou se mění směrnice 2008/96/ES o řízení bezpečnosti silniční i</w:t>
        </w:r>
        <w:r w:rsidR="005942E7">
          <w:rPr>
            <w:rStyle w:val="Hypertextovodkaz"/>
            <w:rFonts w:ascii="Calibri" w:hAnsi="Calibri" w:cs="Calibri"/>
            <w:b/>
          </w:rPr>
          <w:t>n</w:t>
        </w:r>
        <w:r w:rsidR="005942E7" w:rsidRPr="00A33247">
          <w:rPr>
            <w:rStyle w:val="Hypertextovodkaz"/>
            <w:rFonts w:ascii="Calibri" w:hAnsi="Calibri" w:cs="Calibri"/>
            <w:b/>
          </w:rPr>
          <w:t>frastruktury</w:t>
        </w:r>
      </w:hyperlink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b/>
          <w:color w:val="404040" w:themeColor="text1" w:themeTint="BF"/>
        </w:rPr>
      </w:pPr>
      <w:r w:rsidRPr="00A05B96">
        <w:rPr>
          <w:rStyle w:val="Hypertextovodkaz"/>
          <w:rFonts w:cstheme="minorHAnsi"/>
          <w:b/>
          <w:color w:val="404040" w:themeColor="text1" w:themeTint="BF"/>
        </w:rPr>
        <w:t>Posouzení dopadů</w:t>
      </w:r>
    </w:p>
    <w:p w:rsidR="005942E7" w:rsidRPr="002B21A1" w:rsidRDefault="005942E7" w:rsidP="002B21A1">
      <w:pPr>
        <w:spacing w:after="0"/>
        <w:jc w:val="both"/>
        <w:rPr>
          <w:rStyle w:val="Hypertextovodkaz"/>
          <w:rFonts w:cstheme="minorHAnsi"/>
          <w:b/>
          <w:color w:val="404040" w:themeColor="text1" w:themeTint="BF"/>
        </w:rPr>
      </w:pPr>
      <w:r w:rsidRPr="002B21A1">
        <w:rPr>
          <w:rStyle w:val="Hypertextovodkaz"/>
          <w:rFonts w:cstheme="minorHAnsi"/>
          <w:color w:val="404040" w:themeColor="text1" w:themeTint="BF"/>
          <w:u w:val="none"/>
        </w:rPr>
        <w:t xml:space="preserve">PO, které </w:t>
      </w:r>
      <w:r w:rsidR="00AB48BE">
        <w:rPr>
          <w:rStyle w:val="Hypertextovodkaz"/>
          <w:rFonts w:cstheme="minorHAnsi"/>
          <w:color w:val="404040" w:themeColor="text1" w:themeTint="BF"/>
          <w:u w:val="none"/>
        </w:rPr>
        <w:t>řeší míru</w:t>
      </w:r>
      <w:r w:rsidRPr="002B21A1">
        <w:rPr>
          <w:rStyle w:val="Hypertextovodkaz"/>
          <w:rFonts w:cstheme="minorHAnsi"/>
          <w:color w:val="404040" w:themeColor="text1" w:themeTint="BF"/>
          <w:u w:val="none"/>
        </w:rPr>
        <w:t xml:space="preserve"> zásah</w:t>
      </w:r>
      <w:r w:rsidR="00AB48BE">
        <w:rPr>
          <w:rStyle w:val="Hypertextovodkaz"/>
          <w:rFonts w:cstheme="minorHAnsi"/>
          <w:color w:val="404040" w:themeColor="text1" w:themeTint="BF"/>
          <w:u w:val="none"/>
        </w:rPr>
        <w:t>ů</w:t>
      </w:r>
      <w:r w:rsidRPr="002B21A1">
        <w:rPr>
          <w:rStyle w:val="Hypertextovodkaz"/>
          <w:rFonts w:cstheme="minorHAnsi"/>
          <w:color w:val="404040" w:themeColor="text1" w:themeTint="BF"/>
          <w:u w:val="none"/>
        </w:rPr>
        <w:t xml:space="preserve"> politik do TEN-T (PO 1-3) a </w:t>
      </w:r>
      <w:r w:rsidR="00AB48BE">
        <w:rPr>
          <w:rStyle w:val="Hypertextovodkaz"/>
          <w:rFonts w:cstheme="minorHAnsi"/>
          <w:color w:val="404040" w:themeColor="text1" w:themeTint="BF"/>
          <w:u w:val="none"/>
        </w:rPr>
        <w:t>PO</w:t>
      </w:r>
      <w:r w:rsidRPr="002B21A1">
        <w:rPr>
          <w:rStyle w:val="Hypertextovodkaz"/>
          <w:rFonts w:cstheme="minorHAnsi"/>
          <w:color w:val="404040" w:themeColor="text1" w:themeTint="BF"/>
          <w:u w:val="none"/>
        </w:rPr>
        <w:t xml:space="preserve">, které rozšiřují oblast působnosti nad rámec TEN-T (PO A-C), byly posuzovány odděleně. </w:t>
      </w:r>
    </w:p>
    <w:p w:rsidR="005942E7" w:rsidRPr="00B44895" w:rsidRDefault="005942E7" w:rsidP="00B6003D">
      <w:pPr>
        <w:pStyle w:val="Odstavecseseznamem"/>
        <w:numPr>
          <w:ilvl w:val="0"/>
          <w:numId w:val="34"/>
        </w:numPr>
        <w:spacing w:after="0"/>
        <w:jc w:val="both"/>
        <w:rPr>
          <w:rStyle w:val="Hypertextovodkaz"/>
          <w:rFonts w:cstheme="minorHAnsi"/>
          <w:b/>
          <w:color w:val="404040" w:themeColor="text1" w:themeTint="BF"/>
        </w:rPr>
      </w:pPr>
      <w:r w:rsidRPr="00B44895">
        <w:rPr>
          <w:rStyle w:val="Hypertextovodkaz"/>
          <w:rFonts w:cstheme="minorHAnsi"/>
          <w:color w:val="404040" w:themeColor="text1" w:themeTint="BF"/>
          <w:u w:val="none"/>
        </w:rPr>
        <w:t xml:space="preserve">PO1 </w:t>
      </w:r>
      <w:r>
        <w:rPr>
          <w:rStyle w:val="Hypertextovodkaz"/>
          <w:rFonts w:cstheme="minorHAnsi"/>
          <w:color w:val="404040" w:themeColor="text1" w:themeTint="BF"/>
          <w:u w:val="none"/>
        </w:rPr>
        <w:t>–</w:t>
      </w:r>
      <w:r w:rsidRPr="00B44895">
        <w:rPr>
          <w:rStyle w:val="Hypertextovodkaz"/>
          <w:rFonts w:cstheme="minorHAnsi"/>
          <w:color w:val="404040" w:themeColor="text1" w:themeTint="BF"/>
          <w:u w:val="none"/>
        </w:rPr>
        <w:t xml:space="preserve"> minimálními náklady</w:t>
      </w:r>
      <w:r w:rsidR="00B57587">
        <w:rPr>
          <w:rStyle w:val="Hypertextovodkaz"/>
          <w:rFonts w:cstheme="minorHAnsi"/>
          <w:color w:val="404040" w:themeColor="text1" w:themeTint="BF"/>
          <w:u w:val="none"/>
        </w:rPr>
        <w:t>,</w:t>
      </w:r>
      <w:r w:rsidRPr="00B44895">
        <w:rPr>
          <w:rStyle w:val="Hypertextovodkaz"/>
          <w:rFonts w:cstheme="minorHAnsi"/>
          <w:color w:val="404040" w:themeColor="text1" w:themeTint="BF"/>
          <w:u w:val="none"/>
        </w:rPr>
        <w:t xml:space="preserve"> omezené legislativní změny, které jsou poměrně snadné a rychle realizovatelné. Zahrnuje nelegislativní, "měkká" opatření, jako je podpora sdílení znalostí a výměna osvědčených postupů. Dále zavádí legislativní opatření ke zlepšení transparentnosti a jasnou povinnost soustředit se na posouzení bezpečnosti zranitelných účastníků v postupech RISM.</w:t>
      </w:r>
    </w:p>
    <w:p w:rsidR="005942E7" w:rsidRPr="000B4C71" w:rsidRDefault="005942E7" w:rsidP="00B6003D">
      <w:pPr>
        <w:pStyle w:val="Odstavecseseznamem"/>
        <w:numPr>
          <w:ilvl w:val="0"/>
          <w:numId w:val="34"/>
        </w:numPr>
        <w:spacing w:after="0"/>
        <w:jc w:val="both"/>
        <w:rPr>
          <w:rStyle w:val="Hypertextovodkaz"/>
          <w:rFonts w:cstheme="minorHAnsi"/>
          <w:b/>
          <w:color w:val="404040" w:themeColor="text1" w:themeTint="BF"/>
        </w:rPr>
      </w:pPr>
      <w:r w:rsidRPr="000B4C71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PO2 – PO1 + obsahuje prvky "Safe system". Zavádí postup celoevropské posouzení silničního provozu, který pravidelně vyhodnocuje a porovnává bezpečnost silniční sítě, aby bylo možné </w:t>
      </w:r>
      <w:r w:rsidR="00B57587">
        <w:rPr>
          <w:rStyle w:val="Hypertextovodkaz"/>
          <w:rFonts w:cstheme="minorHAnsi"/>
          <w:b/>
          <w:color w:val="404040" w:themeColor="text1" w:themeTint="BF"/>
          <w:u w:val="none"/>
        </w:rPr>
        <w:t>určit</w:t>
      </w:r>
      <w:r w:rsidRPr="000B4C71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 úseky k dalším inspekcím a zásahům. </w:t>
      </w:r>
      <w:r w:rsidR="00B57587">
        <w:rPr>
          <w:rStyle w:val="Hypertextovodkaz"/>
          <w:rFonts w:cstheme="minorHAnsi"/>
          <w:b/>
          <w:color w:val="404040" w:themeColor="text1" w:themeTint="BF"/>
          <w:u w:val="none"/>
        </w:rPr>
        <w:t>Z</w:t>
      </w:r>
      <w:r w:rsidRPr="000B4C71">
        <w:rPr>
          <w:rStyle w:val="Hypertextovodkaz"/>
          <w:rFonts w:cstheme="minorHAnsi"/>
          <w:b/>
          <w:color w:val="404040" w:themeColor="text1" w:themeTint="BF"/>
          <w:u w:val="none"/>
        </w:rPr>
        <w:t>avádí obecné požadavky na výkon určitých komponentů silniční infrastruktury pro propojenou a automatizovanou mobilitu. Státy by prováděly a náležitě sledovaly postupy RISM (řízení bezpečnosti silniční infrastruktury), aby identifikovaly širokou škálu potenciálních rizik. Státy by stanovovaly potřebné úrovně bezpečnosti infrastruktury a vybírali vhodná technická řešení, přičemž předpisy EU by stanovily pouze obecné výkonnostní požadavky, které by podpořily hladké zavedení CCAM (např. čitelnost dopravních značek).</w:t>
      </w:r>
    </w:p>
    <w:p w:rsidR="005942E7" w:rsidRPr="000B4C71" w:rsidRDefault="005942E7" w:rsidP="00B6003D">
      <w:pPr>
        <w:pStyle w:val="Odstavecseseznamem"/>
        <w:numPr>
          <w:ilvl w:val="0"/>
          <w:numId w:val="34"/>
        </w:numPr>
        <w:spacing w:after="0"/>
        <w:jc w:val="both"/>
        <w:rPr>
          <w:rStyle w:val="Hypertextovodkaz"/>
          <w:rFonts w:cstheme="minorHAnsi"/>
          <w:b/>
          <w:color w:val="404040" w:themeColor="text1" w:themeTint="BF"/>
        </w:rPr>
      </w:pPr>
      <w:r w:rsidRPr="000B4C71">
        <w:rPr>
          <w:rStyle w:val="Hypertextovodkaz"/>
          <w:rFonts w:cstheme="minorHAnsi"/>
          <w:color w:val="404040" w:themeColor="text1" w:themeTint="BF"/>
          <w:u w:val="none"/>
        </w:rPr>
        <w:t>PO3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 – PO2 + </w:t>
      </w:r>
      <w:r w:rsidRPr="000B4C71">
        <w:rPr>
          <w:rStyle w:val="Hypertextovodkaz"/>
          <w:rFonts w:cstheme="minorHAnsi"/>
          <w:color w:val="404040" w:themeColor="text1" w:themeTint="BF"/>
          <w:u w:val="none"/>
        </w:rPr>
        <w:t>stanovuje minimální úroveň bezpečnosti silnic TEN-T, a stanoví minimální požadavky na výkon u silničního mobiliáře. Minimální úroveň bezpečnosti by byla stanovena na úrovni EU. Státy by si volně stanovily Členské státy by si ponechaly pružnost při výběru opatření v oblasti bezpečnosti silniční infrastruktury.</w:t>
      </w:r>
    </w:p>
    <w:p w:rsidR="005942E7" w:rsidRPr="002B21A1" w:rsidRDefault="005942E7" w:rsidP="002B21A1">
      <w:pPr>
        <w:spacing w:after="0"/>
        <w:ind w:left="360"/>
        <w:jc w:val="both"/>
        <w:rPr>
          <w:rStyle w:val="Hypertextovodkaz"/>
          <w:rFonts w:cstheme="minorHAnsi"/>
          <w:b/>
          <w:color w:val="404040" w:themeColor="text1" w:themeTint="BF"/>
        </w:rPr>
      </w:pPr>
      <w:r w:rsidRPr="002B21A1">
        <w:rPr>
          <w:rStyle w:val="Hypertextovodkaz"/>
          <w:rFonts w:cstheme="minorHAnsi"/>
          <w:color w:val="404040" w:themeColor="text1" w:themeTint="BF"/>
          <w:u w:val="none"/>
        </w:rPr>
        <w:t>Oproti PO1-3, PO A, B a C zahrnují některé rozšíření postupů směrnice RISM mimo rámec TEN-T. Rozšíření jsou omezena na hlavní nebo národní silnice</w:t>
      </w:r>
      <w:r w:rsidR="00AB48BE">
        <w:rPr>
          <w:rStyle w:val="Hypertextovodkaz"/>
          <w:rFonts w:cstheme="minorHAnsi"/>
          <w:color w:val="404040" w:themeColor="text1" w:themeTint="BF"/>
          <w:u w:val="none"/>
        </w:rPr>
        <w:t xml:space="preserve"> (</w:t>
      </w:r>
      <w:r w:rsidRPr="002B21A1">
        <w:rPr>
          <w:rStyle w:val="Hypertextovodkaz"/>
          <w:rFonts w:cstheme="minorHAnsi"/>
          <w:color w:val="404040" w:themeColor="text1" w:themeTint="BF"/>
          <w:u w:val="none"/>
        </w:rPr>
        <w:t xml:space="preserve">typicky zastoupeny primárními silničními sítěmi </w:t>
      </w:r>
      <w:r w:rsidR="00AB48BE">
        <w:rPr>
          <w:rStyle w:val="Hypertextovodkaz"/>
          <w:rFonts w:cstheme="minorHAnsi"/>
          <w:color w:val="404040" w:themeColor="text1" w:themeTint="BF"/>
          <w:u w:val="none"/>
        </w:rPr>
        <w:t>ČS)</w:t>
      </w:r>
      <w:r w:rsidRPr="002B21A1">
        <w:rPr>
          <w:rStyle w:val="Hypertextovodkaz"/>
          <w:rFonts w:cstheme="minorHAnsi"/>
          <w:color w:val="404040" w:themeColor="text1" w:themeTint="BF"/>
          <w:u w:val="none"/>
        </w:rPr>
        <w:t>.</w:t>
      </w:r>
    </w:p>
    <w:p w:rsidR="005942E7" w:rsidRPr="000B4C71" w:rsidRDefault="005942E7" w:rsidP="00B6003D">
      <w:pPr>
        <w:pStyle w:val="Odstavecseseznamem"/>
        <w:numPr>
          <w:ilvl w:val="0"/>
          <w:numId w:val="34"/>
        </w:numPr>
        <w:spacing w:after="0"/>
        <w:jc w:val="both"/>
        <w:rPr>
          <w:rStyle w:val="Hypertextovodkaz"/>
          <w:rFonts w:cstheme="minorHAnsi"/>
          <w:b/>
          <w:color w:val="404040" w:themeColor="text1" w:themeTint="BF"/>
        </w:rPr>
      </w:pPr>
      <w:r w:rsidRPr="000B4C71">
        <w:rPr>
          <w:rStyle w:val="Hypertextovodkaz"/>
          <w:rFonts w:cstheme="minorHAnsi"/>
          <w:color w:val="404040" w:themeColor="text1" w:themeTint="BF"/>
          <w:u w:val="none"/>
        </w:rPr>
        <w:t>PO A – národní silnice financované alespoň zčásti z EU fondů musí být předmětem RISM směrnice.</w:t>
      </w:r>
    </w:p>
    <w:p w:rsidR="005942E7" w:rsidRPr="000B4C71" w:rsidRDefault="005942E7" w:rsidP="00B6003D">
      <w:pPr>
        <w:pStyle w:val="Odstavecseseznamem"/>
        <w:numPr>
          <w:ilvl w:val="0"/>
          <w:numId w:val="34"/>
        </w:numPr>
        <w:spacing w:after="0"/>
        <w:jc w:val="both"/>
        <w:rPr>
          <w:rStyle w:val="Hypertextovodkaz"/>
          <w:rFonts w:cstheme="minorHAnsi"/>
          <w:b/>
          <w:color w:val="404040" w:themeColor="text1" w:themeTint="BF"/>
        </w:rPr>
      </w:pPr>
      <w:r w:rsidRPr="000B4C71">
        <w:rPr>
          <w:rStyle w:val="Hypertextovodkaz"/>
          <w:rFonts w:cstheme="minorHAnsi"/>
          <w:color w:val="404040" w:themeColor="text1" w:themeTint="BF"/>
          <w:u w:val="none"/>
        </w:rPr>
        <w:t>PO B – předmětem směrnice musí být všechny dálnice i frekventované silnice. Mírně se rozšiřují postupy a procedury směrnice pro ty státy, které ji neaplikovaly dobrovolně.</w:t>
      </w:r>
    </w:p>
    <w:p w:rsidR="005942E7" w:rsidRPr="000B4C71" w:rsidRDefault="005942E7" w:rsidP="00B6003D">
      <w:pPr>
        <w:pStyle w:val="Odstavecseseznamem"/>
        <w:numPr>
          <w:ilvl w:val="0"/>
          <w:numId w:val="34"/>
        </w:numPr>
        <w:spacing w:after="0"/>
        <w:jc w:val="both"/>
        <w:rPr>
          <w:rStyle w:val="Hypertextovodkaz"/>
          <w:rFonts w:cstheme="minorHAnsi"/>
          <w:b/>
          <w:color w:val="404040" w:themeColor="text1" w:themeTint="BF"/>
        </w:rPr>
      </w:pPr>
      <w:r w:rsidRPr="000B4C71">
        <w:rPr>
          <w:rStyle w:val="Hypertextovodkaz"/>
          <w:rFonts w:cstheme="minorHAnsi"/>
          <w:b/>
          <w:color w:val="404040" w:themeColor="text1" w:themeTint="BF"/>
          <w:u w:val="none"/>
        </w:rPr>
        <w:t>PO C - Cílem je proaktivního řízení bezpečnosti silničního provozu také na primárních silničních sítích členských států. Tato možnost politiky představuje ambicióznější rozšíření aplikace revidovaných postupů RISM na větší síť silnic (včetně dálnic a primárních silnic) mimo TEN-T.</w:t>
      </w: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E949E5">
        <w:rPr>
          <w:rStyle w:val="Hypertextovodkaz"/>
          <w:rFonts w:cstheme="minorHAnsi"/>
          <w:color w:val="404040" w:themeColor="text1" w:themeTint="BF"/>
          <w:u w:val="none"/>
        </w:rPr>
        <w:t xml:space="preserve">Posouzení dopadů označilo jako </w:t>
      </w:r>
      <w:r w:rsidRPr="000B4C71">
        <w:rPr>
          <w:rStyle w:val="Hypertextovodkaz"/>
          <w:rFonts w:cstheme="minorHAnsi"/>
          <w:b/>
          <w:color w:val="404040" w:themeColor="text1" w:themeTint="BF"/>
          <w:u w:val="none"/>
        </w:rPr>
        <w:t>upřednostňovanou kombinaci PO2 a POC</w:t>
      </w:r>
      <w:r w:rsidRPr="00E949E5">
        <w:rPr>
          <w:rStyle w:val="Hypertextovodkaz"/>
          <w:rFonts w:cstheme="minorHAnsi"/>
          <w:color w:val="404040" w:themeColor="text1" w:themeTint="BF"/>
          <w:u w:val="none"/>
        </w:rPr>
        <w:t>.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 </w:t>
      </w:r>
      <w:r w:rsidRPr="00E949E5">
        <w:rPr>
          <w:rStyle w:val="Hypertextovodkaz"/>
          <w:rFonts w:cstheme="minorHAnsi"/>
          <w:color w:val="404040" w:themeColor="text1" w:themeTint="BF"/>
          <w:u w:val="none"/>
        </w:rPr>
        <w:t xml:space="preserve">Tato kombinace by </w:t>
      </w:r>
      <w:r w:rsidRPr="000B4C71">
        <w:rPr>
          <w:rStyle w:val="Hypertextovodkaz"/>
          <w:rFonts w:cstheme="minorHAnsi"/>
          <w:b/>
          <w:color w:val="404040" w:themeColor="text1" w:themeTint="BF"/>
          <w:u w:val="none"/>
        </w:rPr>
        <w:t xml:space="preserve">mohla zachránit více než 3 200 životů a vyhnout se více než 20 700 vážným zraněním v letech 2020-2030 ve </w:t>
      </w:r>
      <w:r w:rsidRPr="000B4C71">
        <w:rPr>
          <w:rStyle w:val="Hypertextovodkaz"/>
          <w:rFonts w:cstheme="minorHAnsi"/>
          <w:b/>
          <w:color w:val="404040" w:themeColor="text1" w:themeTint="BF"/>
          <w:u w:val="none"/>
        </w:rPr>
        <w:lastRenderedPageBreak/>
        <w:t>srovnání s výchozím stavem</w:t>
      </w:r>
      <w:r w:rsidRPr="00E949E5">
        <w:rPr>
          <w:rStyle w:val="Hypertextovodkaz"/>
          <w:rFonts w:cstheme="minorHAnsi"/>
          <w:color w:val="404040" w:themeColor="text1" w:themeTint="BF"/>
          <w:u w:val="none"/>
        </w:rPr>
        <w:t xml:space="preserve"> (v letech 2020-2050 by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 by</w:t>
      </w:r>
      <w:r w:rsidRPr="00E949E5">
        <w:rPr>
          <w:rStyle w:val="Hypertextovodkaz"/>
          <w:rFonts w:cstheme="minorHAnsi"/>
          <w:color w:val="404040" w:themeColor="text1" w:themeTint="BF"/>
          <w:u w:val="none"/>
        </w:rPr>
        <w:t>lo ušetřeno 14 650 životů a 97 502 vážných zranění). Jen pro rok 2030 by opatření na silniční infrastrukturu vedla k tomu, že by se ušetřilo 562 životů a zabránilo by se 3 675 vážným zraněním.</w:t>
      </w:r>
    </w:p>
    <w:p w:rsidR="005942E7" w:rsidRDefault="005942E7" w:rsidP="005942E7">
      <w:p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</w:p>
    <w:p w:rsidR="005942E7" w:rsidRPr="00A92C84" w:rsidRDefault="005942E7" w:rsidP="005942E7">
      <w:pPr>
        <w:spacing w:after="0"/>
        <w:jc w:val="both"/>
        <w:rPr>
          <w:rStyle w:val="Hypertextovodkaz"/>
          <w:rFonts w:cstheme="minorHAnsi"/>
          <w:b/>
          <w:color w:val="404040" w:themeColor="text1" w:themeTint="BF"/>
        </w:rPr>
      </w:pPr>
      <w:r w:rsidRPr="00A92C84">
        <w:rPr>
          <w:rStyle w:val="Hypertextovodkaz"/>
          <w:rFonts w:cstheme="minorHAnsi"/>
          <w:b/>
          <w:color w:val="404040" w:themeColor="text1" w:themeTint="BF"/>
        </w:rPr>
        <w:t>Směrnice</w:t>
      </w:r>
      <w:r>
        <w:rPr>
          <w:rStyle w:val="Hypertextovodkaz"/>
          <w:rFonts w:cstheme="minorHAnsi"/>
          <w:b/>
          <w:color w:val="404040" w:themeColor="text1" w:themeTint="BF"/>
        </w:rPr>
        <w:t xml:space="preserve"> RISM</w:t>
      </w:r>
    </w:p>
    <w:p w:rsidR="005942E7" w:rsidRDefault="005942E7" w:rsidP="00B6003D">
      <w:pPr>
        <w:pStyle w:val="Odstavecseseznamem"/>
        <w:numPr>
          <w:ilvl w:val="0"/>
          <w:numId w:val="35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652082">
        <w:rPr>
          <w:rStyle w:val="Hypertextovodkaz"/>
          <w:rFonts w:cstheme="minorHAnsi"/>
          <w:color w:val="404040" w:themeColor="text1" w:themeTint="BF"/>
          <w:u w:val="none"/>
        </w:rPr>
        <w:t xml:space="preserve">Článek 1, odst. 2 – </w:t>
      </w:r>
      <w:r w:rsidRPr="00652082">
        <w:rPr>
          <w:rStyle w:val="Hypertextovodkaz"/>
          <w:rFonts w:cstheme="minorHAnsi"/>
          <w:b/>
          <w:color w:val="404040" w:themeColor="text1" w:themeTint="BF"/>
          <w:u w:val="none"/>
        </w:rPr>
        <w:t>působnost je rozšířena na dálnice a primární/hlavní silnice mimo síť TEN-T</w:t>
      </w:r>
      <w:r w:rsidRPr="00652082">
        <w:rPr>
          <w:rStyle w:val="Hypertextovodkaz"/>
          <w:rFonts w:cstheme="minorHAnsi"/>
          <w:color w:val="404040" w:themeColor="text1" w:themeTint="BF"/>
          <w:u w:val="none"/>
        </w:rPr>
        <w:t>.</w:t>
      </w:r>
    </w:p>
    <w:p w:rsidR="005942E7" w:rsidRDefault="005942E7" w:rsidP="00B6003D">
      <w:pPr>
        <w:pStyle w:val="Odstavecseseznamem"/>
        <w:numPr>
          <w:ilvl w:val="0"/>
          <w:numId w:val="35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652082">
        <w:rPr>
          <w:rStyle w:val="Hypertextovodkaz"/>
          <w:rFonts w:cstheme="minorHAnsi"/>
          <w:color w:val="404040" w:themeColor="text1" w:themeTint="BF"/>
          <w:u w:val="none"/>
        </w:rPr>
        <w:t xml:space="preserve">Článek 1, odst. 3 – uplatňování směrnice je </w:t>
      </w:r>
      <w:r w:rsidRPr="00652082">
        <w:rPr>
          <w:rStyle w:val="Hypertextovodkaz"/>
          <w:rFonts w:cstheme="minorHAnsi"/>
          <w:b/>
          <w:color w:val="404040" w:themeColor="text1" w:themeTint="BF"/>
          <w:u w:val="none"/>
        </w:rPr>
        <w:t>povinné pro jakýkoli projekt silniční infrastruktury mimo městské oblasti, který je dokončen s využitím prostředků EU</w:t>
      </w:r>
      <w:r w:rsidRPr="00652082">
        <w:rPr>
          <w:rStyle w:val="Hypertextovodkaz"/>
          <w:rFonts w:cstheme="minorHAnsi"/>
          <w:color w:val="404040" w:themeColor="text1" w:themeTint="BF"/>
          <w:u w:val="none"/>
        </w:rPr>
        <w:t>, aby se zajistilo, že finanční prostředky EU nebudou využívány k výstavbě potenciálně nebezpečných silnic.</w:t>
      </w:r>
    </w:p>
    <w:p w:rsidR="005942E7" w:rsidRDefault="005942E7" w:rsidP="00B6003D">
      <w:pPr>
        <w:pStyle w:val="Odstavecseseznamem"/>
        <w:numPr>
          <w:ilvl w:val="0"/>
          <w:numId w:val="35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652082">
        <w:rPr>
          <w:rStyle w:val="Hypertextovodkaz"/>
          <w:rFonts w:cstheme="minorHAnsi"/>
          <w:color w:val="404040" w:themeColor="text1" w:themeTint="BF"/>
          <w:u w:val="none"/>
        </w:rPr>
        <w:t xml:space="preserve">Článek 5 – revidován. Proaktivní </w:t>
      </w:r>
      <w:r w:rsidRPr="00652082">
        <w:rPr>
          <w:rStyle w:val="Hypertextovodkaz"/>
          <w:rFonts w:cstheme="minorHAnsi"/>
          <w:b/>
          <w:color w:val="404040" w:themeColor="text1" w:themeTint="BF"/>
          <w:u w:val="none"/>
        </w:rPr>
        <w:t>posouzení všech silnic</w:t>
      </w:r>
      <w:r w:rsidRPr="00652082">
        <w:rPr>
          <w:rStyle w:val="Hypertextovodkaz"/>
          <w:rFonts w:cstheme="minorHAnsi"/>
          <w:color w:val="404040" w:themeColor="text1" w:themeTint="BF"/>
          <w:u w:val="none"/>
        </w:rPr>
        <w:t xml:space="preserve"> spadajících do oblasti působnosti, s cílem zhodnotit bezpečnost stávající infrastruktury </w:t>
      </w:r>
      <w:r>
        <w:rPr>
          <w:rStyle w:val="Hypertextovodkaz"/>
          <w:rFonts w:cstheme="minorHAnsi"/>
          <w:color w:val="404040" w:themeColor="text1" w:themeTint="BF"/>
          <w:u w:val="none"/>
        </w:rPr>
        <w:t>a</w:t>
      </w:r>
      <w:r w:rsidRPr="00652082">
        <w:rPr>
          <w:rStyle w:val="Hypertextovodkaz"/>
          <w:rFonts w:cstheme="minorHAnsi"/>
          <w:color w:val="404040" w:themeColor="text1" w:themeTint="BF"/>
          <w:u w:val="none"/>
        </w:rPr>
        <w:t xml:space="preserve"> určit oblasti pro další inspekce a zásahy. Postup bere v úvahu historické údaje o nehodách a existenci již identifikovaných úseků s vysokou koncentrací nehod. Rovněž systematicky a proaktivně hodnotí rizika spojená se silniční infrastrukturou, jako jsou její geometrické charakteristiky, přítomnost křižovatek, existenci překážek a dostupnost vhodných silničních záchytných systémů. To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 by mělo podnítit </w:t>
      </w:r>
      <w:r w:rsidRPr="00652082">
        <w:rPr>
          <w:rStyle w:val="Hypertextovodkaz"/>
          <w:rFonts w:cstheme="minorHAnsi"/>
          <w:color w:val="404040" w:themeColor="text1" w:themeTint="BF"/>
          <w:u w:val="none"/>
        </w:rPr>
        <w:t>investice do rizikových oblastí.</w:t>
      </w:r>
    </w:p>
    <w:p w:rsidR="005942E7" w:rsidRDefault="005942E7" w:rsidP="00B6003D">
      <w:pPr>
        <w:pStyle w:val="Odstavecseseznamem"/>
        <w:numPr>
          <w:ilvl w:val="0"/>
          <w:numId w:val="35"/>
        </w:numPr>
        <w:spacing w:after="0"/>
        <w:jc w:val="both"/>
        <w:rPr>
          <w:rStyle w:val="Hypertextovodkaz"/>
          <w:rFonts w:cstheme="minorHAnsi"/>
          <w:color w:val="404040" w:themeColor="text1" w:themeTint="BF"/>
          <w:u w:val="none"/>
        </w:rPr>
      </w:pPr>
      <w:r w:rsidRPr="000830AE">
        <w:rPr>
          <w:rStyle w:val="Hypertextovodkaz"/>
          <w:rFonts w:cstheme="minorHAnsi"/>
          <w:color w:val="404040" w:themeColor="text1" w:themeTint="BF"/>
          <w:u w:val="none"/>
        </w:rPr>
        <w:t xml:space="preserve">Článek 6, odst. 3 - revidován tak, aby vyžadoval společné inspekce bezpečnosti přechodových oblastí mezi silnicemi. </w:t>
      </w:r>
      <w:r>
        <w:rPr>
          <w:rStyle w:val="Hypertextovodkaz"/>
          <w:rFonts w:cstheme="minorHAnsi"/>
          <w:color w:val="404040" w:themeColor="text1" w:themeTint="BF"/>
          <w:u w:val="none"/>
        </w:rPr>
        <w:t xml:space="preserve">Měla by se </w:t>
      </w:r>
      <w:r w:rsidRPr="000830AE">
        <w:rPr>
          <w:rStyle w:val="Hypertextovodkaz"/>
          <w:rFonts w:cstheme="minorHAnsi"/>
          <w:color w:val="404040" w:themeColor="text1" w:themeTint="BF"/>
          <w:u w:val="none"/>
        </w:rPr>
        <w:t>zajisti</w:t>
      </w:r>
      <w:r>
        <w:rPr>
          <w:rStyle w:val="Hypertextovodkaz"/>
          <w:rFonts w:cstheme="minorHAnsi"/>
          <w:color w:val="404040" w:themeColor="text1" w:themeTint="BF"/>
          <w:u w:val="none"/>
        </w:rPr>
        <w:t>t</w:t>
      </w:r>
      <w:r w:rsidRPr="000830AE">
        <w:rPr>
          <w:rStyle w:val="Hypertextovodkaz"/>
          <w:rFonts w:cstheme="minorHAnsi"/>
          <w:color w:val="404040" w:themeColor="text1" w:themeTint="BF"/>
          <w:u w:val="none"/>
        </w:rPr>
        <w:t xml:space="preserve"> lepší spoluprác</w:t>
      </w:r>
      <w:r>
        <w:rPr>
          <w:rStyle w:val="Hypertextovodkaz"/>
          <w:rFonts w:cstheme="minorHAnsi"/>
          <w:color w:val="404040" w:themeColor="text1" w:themeTint="BF"/>
          <w:u w:val="none"/>
        </w:rPr>
        <w:t>e</w:t>
      </w:r>
      <w:r w:rsidRPr="000830AE">
        <w:rPr>
          <w:rStyle w:val="Hypertextovodkaz"/>
          <w:rFonts w:cstheme="minorHAnsi"/>
          <w:color w:val="404040" w:themeColor="text1" w:themeTint="BF"/>
          <w:u w:val="none"/>
        </w:rPr>
        <w:t xml:space="preserve"> příslušný</w:t>
      </w:r>
      <w:r>
        <w:rPr>
          <w:rStyle w:val="Hypertextovodkaz"/>
          <w:rFonts w:cstheme="minorHAnsi"/>
          <w:color w:val="404040" w:themeColor="text1" w:themeTint="BF"/>
          <w:u w:val="none"/>
        </w:rPr>
        <w:t>ch</w:t>
      </w:r>
      <w:r w:rsidRPr="000830AE">
        <w:rPr>
          <w:rStyle w:val="Hypertextovodkaz"/>
          <w:rFonts w:cstheme="minorHAnsi"/>
          <w:color w:val="404040" w:themeColor="text1" w:themeTint="BF"/>
          <w:u w:val="none"/>
        </w:rPr>
        <w:t xml:space="preserve"> subjekt</w:t>
      </w:r>
      <w:r>
        <w:rPr>
          <w:rStyle w:val="Hypertextovodkaz"/>
          <w:rFonts w:cstheme="minorHAnsi"/>
          <w:color w:val="404040" w:themeColor="text1" w:themeTint="BF"/>
          <w:u w:val="none"/>
        </w:rPr>
        <w:t>ů</w:t>
      </w:r>
      <w:r w:rsidRPr="000830AE">
        <w:rPr>
          <w:rStyle w:val="Hypertextovodkaz"/>
          <w:rFonts w:cstheme="minorHAnsi"/>
          <w:color w:val="404040" w:themeColor="text1" w:themeTint="BF"/>
          <w:u w:val="none"/>
        </w:rPr>
        <w:t xml:space="preserve"> odpovědný</w:t>
      </w:r>
      <w:r>
        <w:rPr>
          <w:rStyle w:val="Hypertextovodkaz"/>
          <w:rFonts w:cstheme="minorHAnsi"/>
          <w:color w:val="404040" w:themeColor="text1" w:themeTint="BF"/>
          <w:u w:val="none"/>
        </w:rPr>
        <w:t>ch</w:t>
      </w:r>
      <w:r w:rsidRPr="000830AE">
        <w:rPr>
          <w:rStyle w:val="Hypertextovodkaz"/>
          <w:rFonts w:cstheme="minorHAnsi"/>
          <w:color w:val="404040" w:themeColor="text1" w:themeTint="BF"/>
          <w:u w:val="none"/>
        </w:rPr>
        <w:t xml:space="preserve"> za bezpečnost silni</w:t>
      </w:r>
      <w:r>
        <w:rPr>
          <w:rStyle w:val="Hypertextovodkaz"/>
          <w:rFonts w:cstheme="minorHAnsi"/>
          <w:color w:val="404040" w:themeColor="text1" w:themeTint="BF"/>
          <w:u w:val="none"/>
        </w:rPr>
        <w:t>c</w:t>
      </w:r>
      <w:r w:rsidRPr="000830AE">
        <w:rPr>
          <w:rStyle w:val="Hypertextovodkaz"/>
          <w:rFonts w:cstheme="minorHAnsi"/>
          <w:color w:val="404040" w:themeColor="text1" w:themeTint="BF"/>
          <w:u w:val="none"/>
        </w:rPr>
        <w:t xml:space="preserve"> a tunelů, protože tyto přechodové oblasti jsou části tunelů s největší nehodovostí.</w:t>
      </w:r>
    </w:p>
    <w:p w:rsidR="005942E7" w:rsidRDefault="005942E7" w:rsidP="00B6003D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color w:val="404040" w:themeColor="text1" w:themeTint="BF"/>
        </w:rPr>
      </w:pPr>
      <w:r w:rsidRPr="000830AE">
        <w:rPr>
          <w:rFonts w:cstheme="minorHAnsi"/>
          <w:color w:val="404040" w:themeColor="text1" w:themeTint="BF"/>
        </w:rPr>
        <w:t>Článek 6a – nový článek zavádí následné hodnocení všech postupů řízení bezpečnosti silniční infrastruktury.</w:t>
      </w:r>
    </w:p>
    <w:p w:rsidR="005942E7" w:rsidRDefault="005942E7" w:rsidP="00B6003D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color w:val="404040" w:themeColor="text1" w:themeTint="BF"/>
        </w:rPr>
      </w:pPr>
      <w:r w:rsidRPr="000830AE">
        <w:rPr>
          <w:rFonts w:cstheme="minorHAnsi"/>
          <w:color w:val="404040" w:themeColor="text1" w:themeTint="BF"/>
        </w:rPr>
        <w:t>Článek 6b – nový článek zavádí ochranu zranitelných účastníků provozu.</w:t>
      </w:r>
    </w:p>
    <w:p w:rsidR="005942E7" w:rsidRDefault="005942E7" w:rsidP="00B6003D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color w:val="404040" w:themeColor="text1" w:themeTint="BF"/>
        </w:rPr>
      </w:pPr>
      <w:r w:rsidRPr="000830AE">
        <w:rPr>
          <w:rFonts w:cstheme="minorHAnsi"/>
          <w:color w:val="404040" w:themeColor="text1" w:themeTint="BF"/>
        </w:rPr>
        <w:t xml:space="preserve">Článek 6c – nový článek zavádí požadavek </w:t>
      </w:r>
      <w:r>
        <w:rPr>
          <w:rFonts w:cstheme="minorHAnsi"/>
          <w:color w:val="404040" w:themeColor="text1" w:themeTint="BF"/>
        </w:rPr>
        <w:t xml:space="preserve">na </w:t>
      </w:r>
      <w:r w:rsidRPr="000830AE">
        <w:rPr>
          <w:rFonts w:cstheme="minorHAnsi"/>
          <w:color w:val="404040" w:themeColor="text1" w:themeTint="BF"/>
        </w:rPr>
        <w:t>instalaci a údržbu silničního značení tak, aby bylo dobře viditelné a rozpoznatelné.</w:t>
      </w:r>
    </w:p>
    <w:p w:rsidR="005942E7" w:rsidRDefault="005942E7" w:rsidP="00B6003D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color w:val="404040" w:themeColor="text1" w:themeTint="BF"/>
        </w:rPr>
      </w:pPr>
      <w:r w:rsidRPr="000830AE">
        <w:rPr>
          <w:rFonts w:cstheme="minorHAnsi"/>
          <w:color w:val="404040" w:themeColor="text1" w:themeTint="BF"/>
        </w:rPr>
        <w:t>Článek 11a – nový článek stanoví požadavky pro povinný reporting států o uplatňování a výsledcích postupů řízení bezpečnosti. Vyžaduje zejména, aby členské státy klasifikovaly své silniční sítě podle zjištěného stupně rizika.</w:t>
      </w:r>
    </w:p>
    <w:p w:rsidR="005942E7" w:rsidRPr="000830AE" w:rsidRDefault="005942E7" w:rsidP="00B6003D">
      <w:pPr>
        <w:pStyle w:val="Odstavecseseznamem"/>
        <w:numPr>
          <w:ilvl w:val="0"/>
          <w:numId w:val="35"/>
        </w:numPr>
        <w:spacing w:after="0"/>
        <w:jc w:val="both"/>
        <w:rPr>
          <w:rFonts w:cstheme="minorHAnsi"/>
          <w:color w:val="404040" w:themeColor="text1" w:themeTint="BF"/>
        </w:rPr>
      </w:pPr>
      <w:r w:rsidRPr="000830AE">
        <w:rPr>
          <w:rFonts w:cstheme="minorHAnsi"/>
          <w:color w:val="404040" w:themeColor="text1" w:themeTint="BF"/>
        </w:rPr>
        <w:t>Příloha II – jsou vloženy nové požadavky, které zajistí, že zranitelní účastníci provozu jsou zahrnuti do auditů bezpečnosti silničního provozu.</w:t>
      </w:r>
    </w:p>
    <w:p w:rsidR="005942E7" w:rsidRDefault="005942E7" w:rsidP="005942E7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br w:type="page"/>
      </w: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5" w:name="_Ref515184502"/>
      <w:r w:rsidRPr="00202254">
        <w:rPr>
          <w:rFonts w:ascii="Calibri" w:hAnsi="Calibri" w:cs="Calibri"/>
          <w:b/>
          <w:color w:val="404040" w:themeColor="text1" w:themeTint="BF"/>
        </w:rPr>
        <w:lastRenderedPageBreak/>
        <w:t>Propojená a automatizovaná doprava</w:t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  <w:bookmarkEnd w:id="5"/>
    </w:p>
    <w:p w:rsidR="005942E7" w:rsidRPr="00135A54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86" w:history="1">
        <w:r w:rsidR="005942E7" w:rsidRPr="00135A54">
          <w:rPr>
            <w:rStyle w:val="Hypertextovodkaz"/>
            <w:rFonts w:ascii="Calibri" w:hAnsi="Calibri" w:cs="Calibri"/>
            <w:b/>
            <w:sz w:val="20"/>
          </w:rPr>
          <w:t>Sdělení EK k cestě k automatizované mobilitě: strategie EU pro mobilitu budoucnosti</w:t>
        </w:r>
      </w:hyperlink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E2180F" w:rsidRDefault="005942E7" w:rsidP="005942E7">
      <w:pPr>
        <w:spacing w:after="0"/>
        <w:jc w:val="both"/>
        <w:rPr>
          <w:rFonts w:cstheme="minorHAnsi"/>
          <w:b/>
          <w:i/>
          <w:color w:val="404040" w:themeColor="text1" w:themeTint="BF"/>
          <w:u w:val="single"/>
        </w:rPr>
      </w:pPr>
      <w:r w:rsidRPr="00E2180F">
        <w:rPr>
          <w:rFonts w:cstheme="minorHAnsi"/>
          <w:b/>
          <w:i/>
          <w:color w:val="404040" w:themeColor="text1" w:themeTint="BF"/>
          <w:u w:val="single"/>
        </w:rPr>
        <w:t>Propojená a automatizovaná mobilita jako příležitost pro EU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EU je jedním z největších vývozců automobilových technologií. Budou potřeba velké investice pro vytvoření nových moderních technologií a služeb. Technologie samotné nicméně nevyřeší dopravní zácpy, emise či úmrtí na silnicích. Dle průzkumů je 58 % obyvatel EU ochotno jezdit v autonomních vozidlech.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E2180F" w:rsidRDefault="005942E7" w:rsidP="005942E7">
      <w:pPr>
        <w:spacing w:after="0"/>
        <w:jc w:val="both"/>
        <w:rPr>
          <w:rFonts w:cstheme="minorHAnsi"/>
          <w:b/>
          <w:i/>
          <w:color w:val="404040" w:themeColor="text1" w:themeTint="BF"/>
          <w:u w:val="single"/>
        </w:rPr>
      </w:pPr>
      <w:r w:rsidRPr="00E2180F">
        <w:rPr>
          <w:rFonts w:cstheme="minorHAnsi"/>
          <w:b/>
          <w:i/>
          <w:color w:val="404040" w:themeColor="text1" w:themeTint="BF"/>
          <w:u w:val="single"/>
        </w:rPr>
        <w:t>Vize EU v této oblasti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8B13CE">
        <w:rPr>
          <w:rFonts w:cstheme="minorHAnsi"/>
          <w:color w:val="404040" w:themeColor="text1" w:themeTint="BF"/>
        </w:rPr>
        <w:t xml:space="preserve">Cílem je, aby Evropa byla světovým lídrem propojené a automatizované mobility, což by znamenalo zásadní </w:t>
      </w:r>
      <w:r>
        <w:rPr>
          <w:rFonts w:cstheme="minorHAnsi"/>
          <w:color w:val="404040" w:themeColor="text1" w:themeTint="BF"/>
        </w:rPr>
        <w:t>snížení</w:t>
      </w:r>
      <w:r w:rsidRPr="008B13CE">
        <w:rPr>
          <w:rFonts w:cstheme="minorHAnsi"/>
          <w:color w:val="404040" w:themeColor="text1" w:themeTint="BF"/>
        </w:rPr>
        <w:t xml:space="preserve"> počtu smrtelných nehod na silnicích, škodlivých emisí z dopravy a </w:t>
      </w:r>
      <w:r>
        <w:rPr>
          <w:rFonts w:cstheme="minorHAnsi"/>
          <w:color w:val="404040" w:themeColor="text1" w:themeTint="BF"/>
        </w:rPr>
        <w:t xml:space="preserve">dopravního </w:t>
      </w:r>
      <w:r w:rsidRPr="008B13CE">
        <w:rPr>
          <w:rFonts w:cstheme="minorHAnsi"/>
          <w:color w:val="404040" w:themeColor="text1" w:themeTint="BF"/>
        </w:rPr>
        <w:t>přetížení.</w:t>
      </w:r>
      <w:r>
        <w:rPr>
          <w:rFonts w:cstheme="minorHAnsi"/>
          <w:color w:val="404040" w:themeColor="text1" w:themeTint="BF"/>
        </w:rPr>
        <w:t xml:space="preserve"> Do roku 2020 by se mohla na trhu objevit vozidla, která určité silniční situace mohou řešit samostatně.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8B13CE">
        <w:rPr>
          <w:rFonts w:cstheme="minorHAnsi"/>
          <w:color w:val="404040" w:themeColor="text1" w:themeTint="BF"/>
        </w:rPr>
        <w:t xml:space="preserve">Komise bude </w:t>
      </w:r>
      <w:r>
        <w:rPr>
          <w:rFonts w:cstheme="minorHAnsi"/>
          <w:color w:val="404040" w:themeColor="text1" w:themeTint="BF"/>
        </w:rPr>
        <w:t xml:space="preserve">prosazovat </w:t>
      </w:r>
      <w:r w:rsidRPr="008B13CE">
        <w:rPr>
          <w:rFonts w:cstheme="minorHAnsi"/>
          <w:color w:val="404040" w:themeColor="text1" w:themeTint="BF"/>
        </w:rPr>
        <w:t>automatizac</w:t>
      </w:r>
      <w:r>
        <w:rPr>
          <w:rFonts w:cstheme="minorHAnsi"/>
          <w:color w:val="404040" w:themeColor="text1" w:themeTint="BF"/>
        </w:rPr>
        <w:t>i spolu s</w:t>
      </w:r>
      <w:r w:rsidRPr="008B13CE">
        <w:rPr>
          <w:rFonts w:cstheme="minorHAnsi"/>
          <w:color w:val="404040" w:themeColor="text1" w:themeTint="BF"/>
        </w:rPr>
        <w:t xml:space="preserve"> konektivitou ve vozidlech. Pokud budou vozidla stále více propojena a automatizována, budou schopn</w:t>
      </w:r>
      <w:r>
        <w:rPr>
          <w:rFonts w:cstheme="minorHAnsi"/>
          <w:color w:val="404040" w:themeColor="text1" w:themeTint="BF"/>
        </w:rPr>
        <w:t>a</w:t>
      </w:r>
      <w:r w:rsidRPr="008B13CE">
        <w:rPr>
          <w:rFonts w:cstheme="minorHAnsi"/>
          <w:color w:val="404040" w:themeColor="text1" w:themeTint="BF"/>
        </w:rPr>
        <w:t xml:space="preserve"> koordinovat své manévry pomocí aktivní podpory </w:t>
      </w:r>
      <w:r>
        <w:rPr>
          <w:rFonts w:cstheme="minorHAnsi"/>
          <w:color w:val="404040" w:themeColor="text1" w:themeTint="BF"/>
        </w:rPr>
        <w:t xml:space="preserve">ze strany </w:t>
      </w:r>
      <w:r w:rsidRPr="008B13CE">
        <w:rPr>
          <w:rFonts w:cstheme="minorHAnsi"/>
          <w:color w:val="404040" w:themeColor="text1" w:themeTint="BF"/>
        </w:rPr>
        <w:t>infrastruktury a umož</w:t>
      </w:r>
      <w:r>
        <w:rPr>
          <w:rFonts w:cstheme="minorHAnsi"/>
          <w:color w:val="404040" w:themeColor="text1" w:themeTint="BF"/>
        </w:rPr>
        <w:t>n</w:t>
      </w:r>
      <w:r w:rsidRPr="008B13CE">
        <w:rPr>
          <w:rFonts w:cstheme="minorHAnsi"/>
          <w:color w:val="404040" w:themeColor="text1" w:themeTint="BF"/>
        </w:rPr>
        <w:t>í skutečně inteligentní řízení provozu pro nej</w:t>
      </w:r>
      <w:r>
        <w:rPr>
          <w:rFonts w:cstheme="minorHAnsi"/>
          <w:color w:val="404040" w:themeColor="text1" w:themeTint="BF"/>
        </w:rPr>
        <w:t>plynulejší</w:t>
      </w:r>
      <w:r w:rsidRPr="008B13CE">
        <w:rPr>
          <w:rFonts w:cstheme="minorHAnsi"/>
          <w:color w:val="404040" w:themeColor="text1" w:themeTint="BF"/>
        </w:rPr>
        <w:t xml:space="preserve"> a nejbezpečnější doprav</w:t>
      </w:r>
      <w:r>
        <w:rPr>
          <w:rFonts w:cstheme="minorHAnsi"/>
          <w:color w:val="404040" w:themeColor="text1" w:themeTint="BF"/>
        </w:rPr>
        <w:t>u</w:t>
      </w:r>
      <w:r w:rsidRPr="008B13CE">
        <w:rPr>
          <w:rFonts w:cstheme="minorHAnsi"/>
          <w:color w:val="404040" w:themeColor="text1" w:themeTint="BF"/>
        </w:rPr>
        <w:t>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E2180F" w:rsidRDefault="005942E7" w:rsidP="005942E7">
      <w:pPr>
        <w:spacing w:after="0"/>
        <w:jc w:val="both"/>
        <w:rPr>
          <w:rFonts w:cstheme="minorHAnsi"/>
          <w:b/>
          <w:i/>
          <w:color w:val="404040" w:themeColor="text1" w:themeTint="BF"/>
          <w:u w:val="single"/>
        </w:rPr>
      </w:pPr>
      <w:r w:rsidRPr="00E2180F">
        <w:rPr>
          <w:rFonts w:cstheme="minorHAnsi"/>
          <w:b/>
          <w:i/>
          <w:color w:val="404040" w:themeColor="text1" w:themeTint="BF"/>
          <w:u w:val="single"/>
        </w:rPr>
        <w:t>Provedení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4B4FE3">
        <w:rPr>
          <w:rFonts w:cstheme="minorHAnsi"/>
          <w:color w:val="404040" w:themeColor="text1" w:themeTint="BF"/>
        </w:rPr>
        <w:t>Aby Evropa zůstala konkurenceschopná a podporovala zaměstnanost, bude nezbytné, aby byly vyvinuty a</w:t>
      </w:r>
      <w:r>
        <w:rPr>
          <w:rFonts w:cstheme="minorHAnsi"/>
          <w:color w:val="404040" w:themeColor="text1" w:themeTint="BF"/>
        </w:rPr>
        <w:t> </w:t>
      </w:r>
      <w:r w:rsidRPr="004B4FE3">
        <w:rPr>
          <w:rFonts w:cstheme="minorHAnsi"/>
          <w:color w:val="404040" w:themeColor="text1" w:themeTint="BF"/>
        </w:rPr>
        <w:t>vyráběny klíčové technologie, služby a infrastruktura v</w:t>
      </w:r>
      <w:r>
        <w:rPr>
          <w:rFonts w:cstheme="minorHAnsi"/>
          <w:color w:val="404040" w:themeColor="text1" w:themeTint="BF"/>
        </w:rPr>
        <w:t> </w:t>
      </w:r>
      <w:r w:rsidRPr="004B4FE3">
        <w:rPr>
          <w:rFonts w:cstheme="minorHAnsi"/>
          <w:color w:val="404040" w:themeColor="text1" w:themeTint="BF"/>
        </w:rPr>
        <w:t>Evropě a aby byl zaveden potřebný regulační rámec.</w:t>
      </w:r>
      <w:r>
        <w:rPr>
          <w:rFonts w:cstheme="minorHAnsi"/>
          <w:color w:val="404040" w:themeColor="text1" w:themeTint="BF"/>
        </w:rPr>
        <w:t xml:space="preserve"> Skupina na vysoké úrovni GEAR 2030 již </w:t>
      </w:r>
      <w:hyperlink r:id="rId87" w:history="1">
        <w:r w:rsidRPr="00EA345B">
          <w:rPr>
            <w:rStyle w:val="Hypertextovodkaz"/>
            <w:rFonts w:cstheme="minorHAnsi"/>
            <w:color w:val="4040FF" w:themeColor="hyperlink" w:themeTint="BF"/>
          </w:rPr>
          <w:t>přijala</w:t>
        </w:r>
      </w:hyperlink>
      <w:r>
        <w:rPr>
          <w:rFonts w:cstheme="minorHAnsi"/>
          <w:color w:val="404040" w:themeColor="text1" w:themeTint="BF"/>
        </w:rPr>
        <w:t xml:space="preserve"> (18. října 2017) řadu doporučení pro propojenou a automatizovanou mobilitu.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5B2376" w:rsidRDefault="005942E7" w:rsidP="005942E7">
      <w:pPr>
        <w:spacing w:after="0"/>
        <w:jc w:val="both"/>
        <w:rPr>
          <w:rFonts w:cstheme="minorHAnsi"/>
          <w:b/>
          <w:i/>
          <w:color w:val="404040" w:themeColor="text1" w:themeTint="BF"/>
          <w:u w:val="single"/>
        </w:rPr>
      </w:pPr>
      <w:r w:rsidRPr="005B2376">
        <w:rPr>
          <w:rFonts w:cstheme="minorHAnsi"/>
          <w:b/>
          <w:i/>
          <w:color w:val="404040" w:themeColor="text1" w:themeTint="BF"/>
          <w:u w:val="single"/>
        </w:rPr>
        <w:t>Evropa silnější v technologiích a infrastruktuře pro autonomní mobilitu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EA345B">
        <w:rPr>
          <w:rFonts w:cstheme="minorHAnsi"/>
          <w:color w:val="404040" w:themeColor="text1" w:themeTint="BF"/>
        </w:rPr>
        <w:t>V zájmu maximalizace přínosu veřejných investic Komise propojí podpůrná opatření s klíčovými politickými a regulačními iniciativami</w:t>
      </w:r>
      <w:r>
        <w:rPr>
          <w:rFonts w:cstheme="minorHAnsi"/>
          <w:color w:val="404040" w:themeColor="text1" w:themeTint="BF"/>
        </w:rPr>
        <w:t xml:space="preserve">. Dojde k posílení a dalšímu vývoji služeb Galileo. </w:t>
      </w:r>
      <w:r w:rsidRPr="00EA345B">
        <w:rPr>
          <w:rFonts w:cstheme="minorHAnsi"/>
          <w:color w:val="404040" w:themeColor="text1" w:themeTint="BF"/>
        </w:rPr>
        <w:t>Komise navrhn</w:t>
      </w:r>
      <w:r>
        <w:rPr>
          <w:rFonts w:cstheme="minorHAnsi"/>
          <w:color w:val="404040" w:themeColor="text1" w:themeTint="BF"/>
        </w:rPr>
        <w:t>e</w:t>
      </w:r>
      <w:r w:rsidRPr="00EA345B">
        <w:rPr>
          <w:rFonts w:cstheme="minorHAnsi"/>
          <w:color w:val="404040" w:themeColor="text1" w:themeTint="BF"/>
        </w:rPr>
        <w:t>, aby výzkum v</w:t>
      </w:r>
      <w:r>
        <w:rPr>
          <w:rFonts w:cstheme="minorHAnsi"/>
          <w:color w:val="404040" w:themeColor="text1" w:themeTint="BF"/>
        </w:rPr>
        <w:t> </w:t>
      </w:r>
      <w:r w:rsidRPr="00EA345B">
        <w:rPr>
          <w:rFonts w:cstheme="minorHAnsi"/>
          <w:color w:val="404040" w:themeColor="text1" w:themeTint="BF"/>
        </w:rPr>
        <w:t>oblasti kooperativní, propojené a automatizované mobility zůstal prioritou v příštím rámcovém programu pro výzkum a inovace.</w:t>
      </w:r>
      <w:r>
        <w:rPr>
          <w:rFonts w:cstheme="minorHAnsi"/>
          <w:color w:val="404040" w:themeColor="text1" w:themeTint="BF"/>
        </w:rPr>
        <w:t xml:space="preserve"> Dojde k aktualizaci plánu na výzkum a vývoj jízdy bez řidiče.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427C5B">
        <w:rPr>
          <w:rFonts w:cstheme="minorHAnsi"/>
          <w:color w:val="404040" w:themeColor="text1" w:themeTint="BF"/>
        </w:rPr>
        <w:t xml:space="preserve">Komise dnes </w:t>
      </w:r>
      <w:r w:rsidRPr="000969C7">
        <w:rPr>
          <w:rFonts w:cstheme="minorHAnsi"/>
          <w:b/>
          <w:color w:val="404040" w:themeColor="text1" w:themeTint="BF"/>
        </w:rPr>
        <w:t xml:space="preserve">zpřístupňuje </w:t>
      </w:r>
      <w:r w:rsidRPr="0054427F">
        <w:rPr>
          <w:rFonts w:cstheme="minorHAnsi"/>
          <w:b/>
          <w:color w:val="404040" w:themeColor="text1" w:themeTint="BF"/>
        </w:rPr>
        <w:t>prostředky ve výši 450 mil. EUR v rámci nástroje CEF s cílem podpořit digitalizaci v dopravě za účelem podpory automatizace</w:t>
      </w:r>
      <w:r w:rsidRPr="00427C5B">
        <w:rPr>
          <w:rFonts w:cstheme="minorHAnsi"/>
          <w:color w:val="404040" w:themeColor="text1" w:themeTint="BF"/>
        </w:rPr>
        <w:t xml:space="preserve"> a: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427C5B">
        <w:rPr>
          <w:rFonts w:cstheme="minorHAnsi"/>
          <w:color w:val="404040" w:themeColor="text1" w:themeTint="BF"/>
        </w:rPr>
        <w:t xml:space="preserve">v roce 2018 spolupracovat s členskými státy na vypracování prioritního seznamu případů testování ve velkém měřítku a bude využívat možných synergií mezi </w:t>
      </w:r>
      <w:r>
        <w:rPr>
          <w:rFonts w:cstheme="minorHAnsi"/>
          <w:color w:val="404040" w:themeColor="text1" w:themeTint="BF"/>
        </w:rPr>
        <w:t xml:space="preserve">konektivitou a </w:t>
      </w:r>
      <w:r w:rsidRPr="00427C5B">
        <w:rPr>
          <w:rFonts w:cstheme="minorHAnsi"/>
          <w:color w:val="404040" w:themeColor="text1" w:themeTint="BF"/>
        </w:rPr>
        <w:t>automatizac</w:t>
      </w:r>
      <w:r>
        <w:rPr>
          <w:rFonts w:cstheme="minorHAnsi"/>
          <w:color w:val="404040" w:themeColor="text1" w:themeTint="BF"/>
        </w:rPr>
        <w:t>í</w:t>
      </w:r>
      <w:r w:rsidRPr="00427C5B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427C5B">
        <w:rPr>
          <w:rFonts w:cstheme="minorHAnsi"/>
          <w:color w:val="404040" w:themeColor="text1" w:themeTint="BF"/>
        </w:rPr>
        <w:t>vytvoří v roce 2018 jednotnou platformu EU, která bude seskupovat všechny příslušné veřejné a</w:t>
      </w:r>
      <w:r>
        <w:rPr>
          <w:rFonts w:cstheme="minorHAnsi"/>
          <w:color w:val="404040" w:themeColor="text1" w:themeTint="BF"/>
        </w:rPr>
        <w:t> </w:t>
      </w:r>
      <w:r w:rsidRPr="00427C5B">
        <w:rPr>
          <w:rFonts w:cstheme="minorHAnsi"/>
          <w:color w:val="404040" w:themeColor="text1" w:themeTint="BF"/>
        </w:rPr>
        <w:t>soukromé subjekty za účelem koordinace otevřeného testování silnic.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427C5B">
        <w:rPr>
          <w:rFonts w:cstheme="minorHAnsi"/>
          <w:color w:val="404040" w:themeColor="text1" w:themeTint="BF"/>
        </w:rPr>
        <w:t>bude do roku 2019 nabízet bezplatn</w:t>
      </w:r>
      <w:r>
        <w:rPr>
          <w:rFonts w:cstheme="minorHAnsi"/>
          <w:color w:val="404040" w:themeColor="text1" w:themeTint="BF"/>
        </w:rPr>
        <w:t>ě</w:t>
      </w:r>
      <w:r w:rsidRPr="00427C5B">
        <w:rPr>
          <w:rFonts w:cstheme="minorHAnsi"/>
          <w:color w:val="404040" w:themeColor="text1" w:themeTint="BF"/>
        </w:rPr>
        <w:t xml:space="preserve"> služb</w:t>
      </w:r>
      <w:r>
        <w:rPr>
          <w:rFonts w:cstheme="minorHAnsi"/>
          <w:color w:val="404040" w:themeColor="text1" w:themeTint="BF"/>
        </w:rPr>
        <w:t>y</w:t>
      </w:r>
      <w:r w:rsidRPr="00427C5B">
        <w:rPr>
          <w:rFonts w:cstheme="minorHAnsi"/>
          <w:color w:val="404040" w:themeColor="text1" w:themeTint="BF"/>
        </w:rPr>
        <w:t xml:space="preserve"> Galileo.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427C5B">
        <w:rPr>
          <w:rFonts w:cstheme="minorHAnsi"/>
          <w:color w:val="404040" w:themeColor="text1" w:themeTint="BF"/>
        </w:rPr>
        <w:t xml:space="preserve">do roku 2019 připraví pokyny pro optimální využívání pokročilých služeb (tj. </w:t>
      </w:r>
      <w:r>
        <w:rPr>
          <w:rFonts w:cstheme="minorHAnsi"/>
          <w:color w:val="404040" w:themeColor="text1" w:themeTint="BF"/>
        </w:rPr>
        <w:t>v</w:t>
      </w:r>
      <w:r w:rsidRPr="00427C5B">
        <w:rPr>
          <w:rFonts w:cstheme="minorHAnsi"/>
          <w:color w:val="404040" w:themeColor="text1" w:themeTint="BF"/>
        </w:rPr>
        <w:t>ysok</w:t>
      </w:r>
      <w:r>
        <w:rPr>
          <w:rFonts w:cstheme="minorHAnsi"/>
          <w:color w:val="404040" w:themeColor="text1" w:themeTint="BF"/>
        </w:rPr>
        <w:t>á</w:t>
      </w:r>
      <w:r w:rsidRPr="00427C5B">
        <w:rPr>
          <w:rFonts w:cstheme="minorHAnsi"/>
          <w:color w:val="404040" w:themeColor="text1" w:themeTint="BF"/>
        </w:rPr>
        <w:t xml:space="preserve"> přesnost, robustnost, autentizace pozic) nabízených navigačními systémy EU, EGNOS/Galileo a jejich začlenění do navigačních systémů vozidel s cílem řešit </w:t>
      </w:r>
      <w:r>
        <w:rPr>
          <w:rFonts w:cstheme="minorHAnsi"/>
          <w:color w:val="404040" w:themeColor="text1" w:themeTint="BF"/>
        </w:rPr>
        <w:t xml:space="preserve">problémy </w:t>
      </w:r>
      <w:r w:rsidRPr="00427C5B">
        <w:rPr>
          <w:rFonts w:cstheme="minorHAnsi"/>
          <w:color w:val="404040" w:themeColor="text1" w:themeTint="BF"/>
        </w:rPr>
        <w:t>odpovědnost</w:t>
      </w:r>
      <w:r>
        <w:rPr>
          <w:rFonts w:cstheme="minorHAnsi"/>
          <w:color w:val="404040" w:themeColor="text1" w:themeTint="BF"/>
        </w:rPr>
        <w:t>i</w:t>
      </w:r>
      <w:r w:rsidRPr="00427C5B">
        <w:rPr>
          <w:rFonts w:cstheme="minorHAnsi"/>
          <w:color w:val="404040" w:themeColor="text1" w:themeTint="BF"/>
        </w:rPr>
        <w:t xml:space="preserve"> a bezpečnost</w:t>
      </w:r>
      <w:r>
        <w:rPr>
          <w:rFonts w:cstheme="minorHAnsi"/>
          <w:color w:val="404040" w:themeColor="text1" w:themeTint="BF"/>
        </w:rPr>
        <w:t>i</w:t>
      </w:r>
      <w:r w:rsidRPr="00427C5B">
        <w:rPr>
          <w:rFonts w:cstheme="minorHAnsi"/>
          <w:color w:val="404040" w:themeColor="text1" w:themeTint="BF"/>
        </w:rPr>
        <w:t>.</w:t>
      </w:r>
    </w:p>
    <w:p w:rsidR="005942E7" w:rsidRPr="00056D95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427C5B">
        <w:rPr>
          <w:rFonts w:cstheme="minorHAnsi"/>
          <w:color w:val="404040" w:themeColor="text1" w:themeTint="BF"/>
        </w:rPr>
        <w:t xml:space="preserve">v roce 2018 spolupracovat s členskými státy </w:t>
      </w:r>
      <w:r w:rsidRPr="00056D95">
        <w:rPr>
          <w:rFonts w:cstheme="minorHAnsi"/>
          <w:color w:val="404040" w:themeColor="text1" w:themeTint="BF"/>
        </w:rPr>
        <w:t xml:space="preserve">na pokynech pro zajištění harmonizovaného přístupu k </w:t>
      </w:r>
      <w:r>
        <w:rPr>
          <w:rFonts w:cstheme="minorHAnsi"/>
          <w:color w:val="404040" w:themeColor="text1" w:themeTint="BF"/>
        </w:rPr>
        <w:t>národnímu</w:t>
      </w:r>
      <w:r w:rsidRPr="00056D95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ad-hoc </w:t>
      </w:r>
      <w:r w:rsidRPr="00056D95">
        <w:rPr>
          <w:rFonts w:cstheme="minorHAnsi"/>
          <w:color w:val="404040" w:themeColor="text1" w:themeTint="BF"/>
        </w:rPr>
        <w:t>posuz</w:t>
      </w:r>
      <w:r>
        <w:rPr>
          <w:rFonts w:cstheme="minorHAnsi"/>
          <w:color w:val="404040" w:themeColor="text1" w:themeTint="BF"/>
        </w:rPr>
        <w:t>ování</w:t>
      </w:r>
      <w:r w:rsidRPr="00056D95">
        <w:rPr>
          <w:rFonts w:cstheme="minorHAnsi"/>
          <w:color w:val="404040" w:themeColor="text1" w:themeTint="BF"/>
        </w:rPr>
        <w:t xml:space="preserve"> bezpečnosti u automatizovaných vozidel.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056D95">
        <w:rPr>
          <w:rFonts w:cstheme="minorHAnsi"/>
          <w:color w:val="404040" w:themeColor="text1" w:themeTint="BF"/>
        </w:rPr>
        <w:lastRenderedPageBreak/>
        <w:t>zaháj</w:t>
      </w:r>
      <w:r>
        <w:rPr>
          <w:rFonts w:cstheme="minorHAnsi"/>
          <w:color w:val="404040" w:themeColor="text1" w:themeTint="BF"/>
        </w:rPr>
        <w:t>í</w:t>
      </w:r>
      <w:r w:rsidRPr="00056D95">
        <w:rPr>
          <w:rFonts w:cstheme="minorHAnsi"/>
          <w:color w:val="404040" w:themeColor="text1" w:themeTint="BF"/>
        </w:rPr>
        <w:t xml:space="preserve"> spolupráci s členskými státy a zúčastněnými stranami ohledně nového přístupu </w:t>
      </w:r>
      <w:r>
        <w:rPr>
          <w:rFonts w:cstheme="minorHAnsi"/>
          <w:color w:val="404040" w:themeColor="text1" w:themeTint="BF"/>
        </w:rPr>
        <w:t>osvědčení</w:t>
      </w:r>
      <w:r w:rsidRPr="00056D95">
        <w:rPr>
          <w:rFonts w:cstheme="minorHAnsi"/>
          <w:color w:val="404040" w:themeColor="text1" w:themeTint="BF"/>
        </w:rPr>
        <w:t xml:space="preserve"> bezpečnosti automatizovan</w:t>
      </w:r>
      <w:r>
        <w:rPr>
          <w:rFonts w:cstheme="minorHAnsi"/>
          <w:color w:val="404040" w:themeColor="text1" w:themeTint="BF"/>
        </w:rPr>
        <w:t>ých</w:t>
      </w:r>
      <w:r w:rsidRPr="00056D95">
        <w:rPr>
          <w:rFonts w:cstheme="minorHAnsi"/>
          <w:color w:val="404040" w:themeColor="text1" w:themeTint="BF"/>
        </w:rPr>
        <w:t xml:space="preserve"> vozid</w:t>
      </w:r>
      <w:r>
        <w:rPr>
          <w:rFonts w:cstheme="minorHAnsi"/>
          <w:color w:val="404040" w:themeColor="text1" w:themeTint="BF"/>
        </w:rPr>
        <w:t>e</w:t>
      </w:r>
      <w:r w:rsidRPr="00056D95">
        <w:rPr>
          <w:rFonts w:cstheme="minorHAnsi"/>
          <w:color w:val="404040" w:themeColor="text1" w:themeTint="BF"/>
        </w:rPr>
        <w:t>l.</w:t>
      </w:r>
    </w:p>
    <w:p w:rsidR="005942E7" w:rsidRPr="00056D95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056D95">
        <w:rPr>
          <w:rFonts w:cstheme="minorHAnsi"/>
          <w:color w:val="404040" w:themeColor="text1" w:themeTint="BF"/>
        </w:rPr>
        <w:t>představí v roce 2018 priority v EU a</w:t>
      </w:r>
      <w:r>
        <w:rPr>
          <w:rFonts w:cstheme="minorHAnsi"/>
          <w:color w:val="404040" w:themeColor="text1" w:themeTint="BF"/>
        </w:rPr>
        <w:t> </w:t>
      </w:r>
      <w:r w:rsidRPr="00056D95">
        <w:rPr>
          <w:rFonts w:cstheme="minorHAnsi"/>
          <w:color w:val="404040" w:themeColor="text1" w:themeTint="BF"/>
        </w:rPr>
        <w:t>O</w:t>
      </w:r>
      <w:r>
        <w:rPr>
          <w:rFonts w:cstheme="minorHAnsi"/>
          <w:color w:val="404040" w:themeColor="text1" w:themeTint="BF"/>
        </w:rPr>
        <w:t xml:space="preserve">SN pro </w:t>
      </w:r>
      <w:r w:rsidRPr="00056D95">
        <w:rPr>
          <w:rFonts w:cstheme="minorHAnsi"/>
          <w:color w:val="404040" w:themeColor="text1" w:themeTint="BF"/>
        </w:rPr>
        <w:t>zaved</w:t>
      </w:r>
      <w:r>
        <w:rPr>
          <w:rFonts w:cstheme="minorHAnsi"/>
          <w:color w:val="404040" w:themeColor="text1" w:themeTint="BF"/>
        </w:rPr>
        <w:t>ení</w:t>
      </w:r>
      <w:r w:rsidRPr="00056D95">
        <w:rPr>
          <w:rFonts w:cstheme="minorHAnsi"/>
          <w:color w:val="404040" w:themeColor="text1" w:themeTint="BF"/>
        </w:rPr>
        <w:t xml:space="preserve"> nov</w:t>
      </w:r>
      <w:r>
        <w:rPr>
          <w:rFonts w:cstheme="minorHAnsi"/>
          <w:color w:val="404040" w:themeColor="text1" w:themeTint="BF"/>
        </w:rPr>
        <w:t>ých</w:t>
      </w:r>
      <w:r w:rsidRPr="00056D95">
        <w:rPr>
          <w:rFonts w:cstheme="minorHAnsi"/>
          <w:color w:val="404040" w:themeColor="text1" w:themeTint="BF"/>
        </w:rPr>
        <w:t xml:space="preserve"> právní</w:t>
      </w:r>
      <w:r>
        <w:rPr>
          <w:rFonts w:cstheme="minorHAnsi"/>
          <w:color w:val="404040" w:themeColor="text1" w:themeTint="BF"/>
        </w:rPr>
        <w:t>ch</w:t>
      </w:r>
      <w:r w:rsidRPr="00056D95">
        <w:rPr>
          <w:rFonts w:cstheme="minorHAnsi"/>
          <w:color w:val="404040" w:themeColor="text1" w:themeTint="BF"/>
        </w:rPr>
        <w:t xml:space="preserve"> předpis</w:t>
      </w:r>
      <w:r>
        <w:rPr>
          <w:rFonts w:cstheme="minorHAnsi"/>
          <w:color w:val="404040" w:themeColor="text1" w:themeTint="BF"/>
        </w:rPr>
        <w:t>ů</w:t>
      </w:r>
      <w:r w:rsidRPr="00056D95">
        <w:rPr>
          <w:rFonts w:cstheme="minorHAnsi"/>
          <w:color w:val="404040" w:themeColor="text1" w:themeTint="BF"/>
        </w:rPr>
        <w:t xml:space="preserve"> týkající se</w:t>
      </w:r>
      <w:r>
        <w:rPr>
          <w:rFonts w:cstheme="minorHAnsi"/>
          <w:color w:val="404040" w:themeColor="text1" w:themeTint="BF"/>
        </w:rPr>
        <w:t xml:space="preserve"> </w:t>
      </w:r>
      <w:r w:rsidRPr="00056D95">
        <w:rPr>
          <w:rFonts w:cstheme="minorHAnsi"/>
          <w:color w:val="404040" w:themeColor="text1" w:themeTint="BF"/>
        </w:rPr>
        <w:t>bezpečnosti automatizovan</w:t>
      </w:r>
      <w:r>
        <w:rPr>
          <w:rFonts w:cstheme="minorHAnsi"/>
          <w:color w:val="404040" w:themeColor="text1" w:themeTint="BF"/>
        </w:rPr>
        <w:t xml:space="preserve">ých </w:t>
      </w:r>
      <w:r w:rsidRPr="00056D95">
        <w:rPr>
          <w:rFonts w:cstheme="minorHAnsi"/>
          <w:color w:val="404040" w:themeColor="text1" w:themeTint="BF"/>
        </w:rPr>
        <w:t>vozid</w:t>
      </w:r>
      <w:r>
        <w:rPr>
          <w:rFonts w:cstheme="minorHAnsi"/>
          <w:color w:val="404040" w:themeColor="text1" w:themeTint="BF"/>
        </w:rPr>
        <w:t>e</w:t>
      </w:r>
      <w:r w:rsidRPr="00056D95">
        <w:rPr>
          <w:rFonts w:cstheme="minorHAnsi"/>
          <w:color w:val="404040" w:themeColor="text1" w:themeTint="BF"/>
        </w:rPr>
        <w:t>l, zejména vozid</w:t>
      </w:r>
      <w:r>
        <w:rPr>
          <w:rFonts w:cstheme="minorHAnsi"/>
          <w:color w:val="404040" w:themeColor="text1" w:themeTint="BF"/>
        </w:rPr>
        <w:t>e</w:t>
      </w:r>
      <w:r w:rsidRPr="00056D95">
        <w:rPr>
          <w:rFonts w:cstheme="minorHAnsi"/>
          <w:color w:val="404040" w:themeColor="text1" w:themeTint="BF"/>
        </w:rPr>
        <w:t>l s nejvyšší úrovní automatizace.</w:t>
      </w:r>
    </w:p>
    <w:p w:rsidR="005942E7" w:rsidRPr="00056D95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056D95">
        <w:rPr>
          <w:rFonts w:cstheme="minorHAnsi"/>
          <w:color w:val="404040" w:themeColor="text1" w:themeTint="BF"/>
        </w:rPr>
        <w:t>zintenzívn</w:t>
      </w:r>
      <w:r>
        <w:rPr>
          <w:rFonts w:cstheme="minorHAnsi"/>
          <w:color w:val="404040" w:themeColor="text1" w:themeTint="BF"/>
        </w:rPr>
        <w:t>í</w:t>
      </w:r>
      <w:r w:rsidRPr="00056D95">
        <w:rPr>
          <w:rFonts w:cstheme="minorHAnsi"/>
          <w:color w:val="404040" w:themeColor="text1" w:themeTint="BF"/>
        </w:rPr>
        <w:t xml:space="preserve"> koordinaci </w:t>
      </w:r>
      <w:r>
        <w:rPr>
          <w:rFonts w:cstheme="minorHAnsi"/>
          <w:color w:val="404040" w:themeColor="text1" w:themeTint="BF"/>
        </w:rPr>
        <w:t>(</w:t>
      </w:r>
      <w:r w:rsidRPr="00056D95">
        <w:rPr>
          <w:rFonts w:cstheme="minorHAnsi"/>
          <w:color w:val="404040" w:themeColor="text1" w:themeTint="BF"/>
        </w:rPr>
        <w:t>s členskými státy</w:t>
      </w:r>
      <w:r>
        <w:rPr>
          <w:rFonts w:cstheme="minorHAnsi"/>
          <w:color w:val="404040" w:themeColor="text1" w:themeTint="BF"/>
        </w:rPr>
        <w:t>)</w:t>
      </w:r>
      <w:r w:rsidRPr="00056D95">
        <w:rPr>
          <w:rFonts w:cstheme="minorHAnsi"/>
          <w:color w:val="404040" w:themeColor="text1" w:themeTint="BF"/>
        </w:rPr>
        <w:t xml:space="preserve"> dopravních pravide</w:t>
      </w:r>
      <w:r>
        <w:rPr>
          <w:rFonts w:cstheme="minorHAnsi"/>
          <w:color w:val="404040" w:themeColor="text1" w:themeTint="BF"/>
        </w:rPr>
        <w:t>l</w:t>
      </w:r>
      <w:r w:rsidRPr="00056D95">
        <w:rPr>
          <w:rFonts w:cstheme="minorHAnsi"/>
          <w:color w:val="404040" w:themeColor="text1" w:themeTint="BF"/>
        </w:rPr>
        <w:t xml:space="preserve"> (např. Ženevské a Vídeňské úmluvy), aby mohly být harmonizova</w:t>
      </w:r>
      <w:r>
        <w:rPr>
          <w:rFonts w:cstheme="minorHAnsi"/>
          <w:color w:val="404040" w:themeColor="text1" w:themeTint="BF"/>
        </w:rPr>
        <w:t xml:space="preserve">nou cestou </w:t>
      </w:r>
      <w:r w:rsidRPr="00056D95">
        <w:rPr>
          <w:rFonts w:cstheme="minorHAnsi"/>
          <w:color w:val="404040" w:themeColor="text1" w:themeTint="BF"/>
        </w:rPr>
        <w:t>přizpůsobeny automatizované mobilitě.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p</w:t>
      </w:r>
      <w:r w:rsidRPr="00056D95">
        <w:rPr>
          <w:rFonts w:cstheme="minorHAnsi"/>
          <w:color w:val="404040" w:themeColor="text1" w:themeTint="BF"/>
        </w:rPr>
        <w:t>řijm</w:t>
      </w:r>
      <w:r>
        <w:rPr>
          <w:rFonts w:cstheme="minorHAnsi"/>
          <w:color w:val="404040" w:themeColor="text1" w:themeTint="BF"/>
        </w:rPr>
        <w:t>e</w:t>
      </w:r>
      <w:r w:rsidRPr="00056D95">
        <w:rPr>
          <w:rFonts w:cstheme="minorHAnsi"/>
          <w:color w:val="404040" w:themeColor="text1" w:themeTint="BF"/>
        </w:rPr>
        <w:t xml:space="preserve"> do konce roku 2018 delegované nařízení podle směrnice o </w:t>
      </w:r>
      <w:r>
        <w:rPr>
          <w:rFonts w:cstheme="minorHAnsi"/>
          <w:color w:val="404040" w:themeColor="text1" w:themeTint="BF"/>
        </w:rPr>
        <w:t>ITS</w:t>
      </w:r>
      <w:r w:rsidRPr="00056D95">
        <w:rPr>
          <w:rFonts w:cstheme="minorHAnsi"/>
          <w:color w:val="404040" w:themeColor="text1" w:themeTint="BF"/>
        </w:rPr>
        <w:t>, aby zajistil</w:t>
      </w:r>
      <w:r>
        <w:rPr>
          <w:rFonts w:cstheme="minorHAnsi"/>
          <w:color w:val="404040" w:themeColor="text1" w:themeTint="BF"/>
        </w:rPr>
        <w:t>a</w:t>
      </w:r>
      <w:r w:rsidRPr="00056D95">
        <w:rPr>
          <w:rFonts w:cstheme="minorHAnsi"/>
          <w:color w:val="404040" w:themeColor="text1" w:themeTint="BF"/>
        </w:rPr>
        <w:t xml:space="preserve"> bezpečnou a</w:t>
      </w:r>
      <w:r>
        <w:rPr>
          <w:rFonts w:cstheme="minorHAnsi"/>
          <w:color w:val="404040" w:themeColor="text1" w:themeTint="BF"/>
        </w:rPr>
        <w:t> </w:t>
      </w:r>
      <w:r w:rsidRPr="00056D95">
        <w:rPr>
          <w:rFonts w:cstheme="minorHAnsi"/>
          <w:color w:val="404040" w:themeColor="text1" w:themeTint="BF"/>
        </w:rPr>
        <w:t xml:space="preserve">důvěryhodnou komunikaci mezi vozidly a infrastrukturou, spolehlivou úroveň ochrany údajů </w:t>
      </w:r>
      <w:r>
        <w:rPr>
          <w:rFonts w:cstheme="minorHAnsi"/>
          <w:color w:val="404040" w:themeColor="text1" w:themeTint="BF"/>
        </w:rPr>
        <w:t>v </w:t>
      </w:r>
      <w:r w:rsidRPr="00056D95">
        <w:rPr>
          <w:rFonts w:cstheme="minorHAnsi"/>
          <w:color w:val="404040" w:themeColor="text1" w:themeTint="BF"/>
        </w:rPr>
        <w:t xml:space="preserve">souladu s </w:t>
      </w:r>
      <w:r>
        <w:rPr>
          <w:rFonts w:cstheme="minorHAnsi"/>
          <w:color w:val="404040" w:themeColor="text1" w:themeTint="BF"/>
        </w:rPr>
        <w:t>GDPR</w:t>
      </w:r>
      <w:r w:rsidRPr="00056D95">
        <w:rPr>
          <w:rFonts w:cstheme="minorHAnsi"/>
          <w:color w:val="404040" w:themeColor="text1" w:themeTint="BF"/>
        </w:rPr>
        <w:t xml:space="preserve"> a interoperabilitu zpráv pro</w:t>
      </w:r>
      <w:r>
        <w:rPr>
          <w:rFonts w:cstheme="minorHAnsi"/>
          <w:color w:val="404040" w:themeColor="text1" w:themeTint="BF"/>
        </w:rPr>
        <w:t xml:space="preserve"> účely</w:t>
      </w:r>
      <w:r w:rsidRPr="00056D95">
        <w:rPr>
          <w:rFonts w:cstheme="minorHAnsi"/>
          <w:color w:val="404040" w:themeColor="text1" w:themeTint="BF"/>
        </w:rPr>
        <w:t xml:space="preserve"> bezpečnost</w:t>
      </w:r>
      <w:r>
        <w:rPr>
          <w:rFonts w:cstheme="minorHAnsi"/>
          <w:color w:val="404040" w:themeColor="text1" w:themeTint="BF"/>
        </w:rPr>
        <w:t>ní</w:t>
      </w:r>
      <w:r w:rsidRPr="00056D95">
        <w:rPr>
          <w:rFonts w:cstheme="minorHAnsi"/>
          <w:color w:val="404040" w:themeColor="text1" w:themeTint="BF"/>
        </w:rPr>
        <w:t xml:space="preserve"> a </w:t>
      </w:r>
      <w:r>
        <w:rPr>
          <w:rFonts w:cstheme="minorHAnsi"/>
          <w:color w:val="404040" w:themeColor="text1" w:themeTint="BF"/>
        </w:rPr>
        <w:t xml:space="preserve">účely </w:t>
      </w:r>
      <w:r w:rsidRPr="00056D95">
        <w:rPr>
          <w:rFonts w:cstheme="minorHAnsi"/>
          <w:color w:val="404040" w:themeColor="text1" w:themeTint="BF"/>
        </w:rPr>
        <w:t>řízení dopravy.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5107D5">
        <w:rPr>
          <w:rFonts w:cstheme="minorHAnsi"/>
          <w:color w:val="404040" w:themeColor="text1" w:themeTint="BF"/>
        </w:rPr>
        <w:t>navrhuje regulovat záznamov</w:t>
      </w:r>
      <w:r>
        <w:rPr>
          <w:rFonts w:cstheme="minorHAnsi"/>
          <w:color w:val="404040" w:themeColor="text1" w:themeTint="BF"/>
        </w:rPr>
        <w:t>á</w:t>
      </w:r>
      <w:r w:rsidRPr="005107D5">
        <w:rPr>
          <w:rFonts w:cstheme="minorHAnsi"/>
          <w:color w:val="404040" w:themeColor="text1" w:themeTint="BF"/>
        </w:rPr>
        <w:t xml:space="preserve"> zařízení pro automatizovaná vozidla s cílem objasnit, kdo řídil (vozidlo nebo řidič) během nehody.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0934C1">
        <w:rPr>
          <w:rFonts w:cstheme="minorHAnsi"/>
          <w:color w:val="404040" w:themeColor="text1" w:themeTint="BF"/>
        </w:rPr>
        <w:t xml:space="preserve">navrhuje regulaci výcviku </w:t>
      </w:r>
      <w:r>
        <w:rPr>
          <w:rFonts w:cstheme="minorHAnsi"/>
          <w:color w:val="404040" w:themeColor="text1" w:themeTint="BF"/>
        </w:rPr>
        <w:t>s</w:t>
      </w:r>
      <w:r w:rsidRPr="000934C1">
        <w:rPr>
          <w:rFonts w:cstheme="minorHAnsi"/>
          <w:color w:val="404040" w:themeColor="text1" w:themeTint="BF"/>
        </w:rPr>
        <w:t xml:space="preserve"> cílem zajistit standardizaci výměny údajů mezi různými značkami.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0934C1">
        <w:rPr>
          <w:rFonts w:cstheme="minorHAnsi"/>
          <w:color w:val="404040" w:themeColor="text1" w:themeTint="BF"/>
        </w:rPr>
        <w:t>bude nadále sledovat situaci v oblasti přístupu k datům a zdrojům uloženým ve vozidle a zváží další možnosti pro vytvoření rámce umožňujícího sdílení údajů o vozidlech, aby byla zajištěna spravedlivá hospodářská soutěž při poskytování služeb na jednotném digitálním trhu</w:t>
      </w:r>
      <w:r>
        <w:rPr>
          <w:rFonts w:cstheme="minorHAnsi"/>
          <w:color w:val="404040" w:themeColor="text1" w:themeTint="BF"/>
        </w:rPr>
        <w:t xml:space="preserve"> </w:t>
      </w:r>
      <w:r w:rsidRPr="000934C1">
        <w:rPr>
          <w:rFonts w:cstheme="minorHAnsi"/>
          <w:color w:val="404040" w:themeColor="text1" w:themeTint="BF"/>
        </w:rPr>
        <w:t xml:space="preserve">a </w:t>
      </w:r>
      <w:r>
        <w:rPr>
          <w:rFonts w:cstheme="minorHAnsi"/>
          <w:color w:val="404040" w:themeColor="text1" w:themeTint="BF"/>
        </w:rPr>
        <w:t>ochrana osobních údajů.</w:t>
      </w:r>
    </w:p>
    <w:p w:rsidR="005942E7" w:rsidRPr="000934C1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0934C1">
        <w:rPr>
          <w:rFonts w:cstheme="minorHAnsi"/>
          <w:color w:val="404040" w:themeColor="text1" w:themeTint="BF"/>
        </w:rPr>
        <w:t>zváž</w:t>
      </w:r>
      <w:r>
        <w:rPr>
          <w:rFonts w:cstheme="minorHAnsi"/>
          <w:color w:val="404040" w:themeColor="text1" w:themeTint="BF"/>
        </w:rPr>
        <w:t>í</w:t>
      </w:r>
      <w:r w:rsidRPr="000934C1">
        <w:rPr>
          <w:rFonts w:cstheme="minorHAnsi"/>
          <w:color w:val="404040" w:themeColor="text1" w:themeTint="BF"/>
        </w:rPr>
        <w:t xml:space="preserve"> potřebu specifikací pro přístup k údajům o vozidlech pro potřeby veřejných orgánů, zejména řízení dopravy v letech 2018/2019 a v roce 2019/2020 pro shromažďování anonymizovaných informac</w:t>
      </w:r>
      <w:r>
        <w:rPr>
          <w:rFonts w:cstheme="minorHAnsi"/>
          <w:color w:val="404040" w:themeColor="text1" w:themeTint="BF"/>
        </w:rPr>
        <w:t>ích</w:t>
      </w:r>
      <w:r w:rsidRPr="000934C1">
        <w:rPr>
          <w:rFonts w:cstheme="minorHAnsi"/>
          <w:color w:val="404040" w:themeColor="text1" w:themeTint="BF"/>
        </w:rPr>
        <w:t xml:space="preserve"> o </w:t>
      </w:r>
      <w:r>
        <w:rPr>
          <w:rFonts w:cstheme="minorHAnsi"/>
          <w:color w:val="404040" w:themeColor="text1" w:themeTint="BF"/>
        </w:rPr>
        <w:t xml:space="preserve">skutečné </w:t>
      </w:r>
      <w:r w:rsidRPr="000934C1">
        <w:rPr>
          <w:rFonts w:cstheme="minorHAnsi"/>
          <w:color w:val="404040" w:themeColor="text1" w:themeTint="BF"/>
        </w:rPr>
        <w:t>spotřebě paliva / energie.</w:t>
      </w:r>
    </w:p>
    <w:p w:rsidR="005942E7" w:rsidRPr="000934C1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0934C1">
        <w:rPr>
          <w:rFonts w:cstheme="minorHAnsi"/>
          <w:color w:val="404040" w:themeColor="text1" w:themeTint="BF"/>
        </w:rPr>
        <w:t>zav</w:t>
      </w:r>
      <w:r>
        <w:rPr>
          <w:rFonts w:cstheme="minorHAnsi"/>
          <w:color w:val="404040" w:themeColor="text1" w:themeTint="BF"/>
        </w:rPr>
        <w:t>ede</w:t>
      </w:r>
      <w:r w:rsidRPr="000934C1">
        <w:rPr>
          <w:rFonts w:cstheme="minorHAnsi"/>
          <w:color w:val="404040" w:themeColor="text1" w:themeTint="BF"/>
        </w:rPr>
        <w:t xml:space="preserve"> pilotní </w:t>
      </w:r>
      <w:r>
        <w:rPr>
          <w:rFonts w:cstheme="minorHAnsi"/>
          <w:color w:val="404040" w:themeColor="text1" w:themeTint="BF"/>
        </w:rPr>
        <w:t xml:space="preserve">bezpečnostní </w:t>
      </w:r>
      <w:r w:rsidRPr="000934C1">
        <w:rPr>
          <w:rFonts w:cstheme="minorHAnsi"/>
          <w:color w:val="404040" w:themeColor="text1" w:themeTint="BF"/>
        </w:rPr>
        <w:t xml:space="preserve">projekt </w:t>
      </w:r>
      <w:r>
        <w:rPr>
          <w:rFonts w:cstheme="minorHAnsi"/>
          <w:color w:val="404040" w:themeColor="text1" w:themeTint="BF"/>
        </w:rPr>
        <w:t xml:space="preserve">pro kybernetickou </w:t>
      </w:r>
      <w:r w:rsidRPr="000934C1">
        <w:rPr>
          <w:rFonts w:cstheme="minorHAnsi"/>
          <w:color w:val="404040" w:themeColor="text1" w:themeTint="BF"/>
        </w:rPr>
        <w:t>infrastruktur</w:t>
      </w:r>
      <w:r>
        <w:rPr>
          <w:rFonts w:cstheme="minorHAnsi"/>
          <w:color w:val="404040" w:themeColor="text1" w:themeTint="BF"/>
        </w:rPr>
        <w:t>u</w:t>
      </w:r>
      <w:r w:rsidRPr="000934C1">
        <w:rPr>
          <w:rFonts w:cstheme="minorHAnsi"/>
          <w:color w:val="404040" w:themeColor="text1" w:themeTint="BF"/>
        </w:rPr>
        <w:t xml:space="preserve"> a proces</w:t>
      </w:r>
      <w:r>
        <w:rPr>
          <w:rFonts w:cstheme="minorHAnsi"/>
          <w:color w:val="404040" w:themeColor="text1" w:themeTint="BF"/>
        </w:rPr>
        <w:t>y nutné p</w:t>
      </w:r>
      <w:r w:rsidRPr="000934C1">
        <w:rPr>
          <w:rFonts w:cstheme="minorHAnsi"/>
          <w:color w:val="404040" w:themeColor="text1" w:themeTint="BF"/>
        </w:rPr>
        <w:t>ro bezpečnou a věrohodnou komunikaci mezi vozidly a infrastrukturou pro účely bezpečnosti provozu a zpráv souvisejících s řízením provozu</w:t>
      </w:r>
      <w:r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0934C1">
        <w:rPr>
          <w:rFonts w:cstheme="minorHAnsi"/>
          <w:color w:val="404040" w:themeColor="text1" w:themeTint="BF"/>
        </w:rPr>
        <w:t xml:space="preserve">vydá v roce 2018 jako první krok doporučení týkající se využívání spektra </w:t>
      </w:r>
      <w:r>
        <w:rPr>
          <w:rFonts w:cstheme="minorHAnsi"/>
          <w:color w:val="404040" w:themeColor="text1" w:themeTint="BF"/>
        </w:rPr>
        <w:t xml:space="preserve">pro </w:t>
      </w:r>
      <w:r w:rsidRPr="000934C1">
        <w:rPr>
          <w:rFonts w:cstheme="minorHAnsi"/>
          <w:color w:val="404040" w:themeColor="text1" w:themeTint="BF"/>
        </w:rPr>
        <w:t>testování</w:t>
      </w:r>
      <w:r>
        <w:rPr>
          <w:rFonts w:cstheme="minorHAnsi"/>
          <w:color w:val="404040" w:themeColor="text1" w:themeTint="BF"/>
        </w:rPr>
        <w:t xml:space="preserve"> 5G</w:t>
      </w:r>
      <w:r w:rsidRPr="000934C1">
        <w:rPr>
          <w:rFonts w:cstheme="minorHAnsi"/>
          <w:color w:val="404040" w:themeColor="text1" w:themeTint="BF"/>
        </w:rPr>
        <w:t>, kyberneticko-bezpečnostní zabezpečení a rámec, který umož</w:t>
      </w:r>
      <w:r>
        <w:rPr>
          <w:rFonts w:cstheme="minorHAnsi"/>
          <w:color w:val="404040" w:themeColor="text1" w:themeTint="BF"/>
        </w:rPr>
        <w:t>ní</w:t>
      </w:r>
      <w:r w:rsidRPr="000934C1">
        <w:rPr>
          <w:rFonts w:cstheme="minorHAnsi"/>
          <w:color w:val="404040" w:themeColor="text1" w:themeTint="BF"/>
        </w:rPr>
        <w:t xml:space="preserve"> sdílení údajů v souladu s</w:t>
      </w:r>
      <w:r>
        <w:rPr>
          <w:rFonts w:cstheme="minorHAnsi"/>
          <w:color w:val="404040" w:themeColor="text1" w:themeTint="BF"/>
        </w:rPr>
        <w:t> </w:t>
      </w:r>
      <w:r w:rsidRPr="000934C1">
        <w:rPr>
          <w:rFonts w:cstheme="minorHAnsi"/>
          <w:color w:val="404040" w:themeColor="text1" w:themeTint="BF"/>
        </w:rPr>
        <w:t>iniciativami datového balíčku pro rok 2018 a</w:t>
      </w:r>
      <w:r>
        <w:rPr>
          <w:rFonts w:cstheme="minorHAnsi"/>
          <w:color w:val="404040" w:themeColor="text1" w:themeTint="BF"/>
        </w:rPr>
        <w:t xml:space="preserve"> </w:t>
      </w:r>
      <w:r w:rsidRPr="000934C1">
        <w:rPr>
          <w:rFonts w:cstheme="minorHAnsi"/>
          <w:color w:val="404040" w:themeColor="text1" w:themeTint="BF"/>
        </w:rPr>
        <w:t>s</w:t>
      </w:r>
      <w:r>
        <w:rPr>
          <w:rFonts w:cstheme="minorHAnsi"/>
          <w:color w:val="404040" w:themeColor="text1" w:themeTint="BF"/>
        </w:rPr>
        <w:t xml:space="preserve"> legislativou na </w:t>
      </w:r>
      <w:r w:rsidRPr="000934C1">
        <w:rPr>
          <w:rFonts w:cstheme="minorHAnsi"/>
          <w:color w:val="404040" w:themeColor="text1" w:themeTint="BF"/>
        </w:rPr>
        <w:t>ochran</w:t>
      </w:r>
      <w:r>
        <w:rPr>
          <w:rFonts w:cstheme="minorHAnsi"/>
          <w:color w:val="404040" w:themeColor="text1" w:themeTint="BF"/>
        </w:rPr>
        <w:t xml:space="preserve">u osobních </w:t>
      </w:r>
      <w:r w:rsidRPr="000934C1">
        <w:rPr>
          <w:rFonts w:cstheme="minorHAnsi"/>
          <w:color w:val="404040" w:themeColor="text1" w:themeTint="BF"/>
        </w:rPr>
        <w:t>údajů.</w:t>
      </w:r>
    </w:p>
    <w:p w:rsidR="005942E7" w:rsidRPr="00743973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743973">
        <w:rPr>
          <w:rFonts w:cstheme="minorHAnsi"/>
          <w:color w:val="404040" w:themeColor="text1" w:themeTint="BF"/>
        </w:rPr>
        <w:t>sledovat a vyhodnocovat střednědobé a dlouhodobé dopady automatizované</w:t>
      </w:r>
      <w:r>
        <w:rPr>
          <w:rFonts w:cstheme="minorHAnsi"/>
          <w:color w:val="404040" w:themeColor="text1" w:themeTint="BF"/>
        </w:rPr>
        <w:t>ho řízení</w:t>
      </w:r>
      <w:r w:rsidRPr="00743973">
        <w:rPr>
          <w:rFonts w:cstheme="minorHAnsi"/>
          <w:color w:val="404040" w:themeColor="text1" w:themeTint="BF"/>
        </w:rPr>
        <w:t xml:space="preserve">, zejména v </w:t>
      </w:r>
      <w:r>
        <w:rPr>
          <w:rFonts w:cstheme="minorHAnsi"/>
          <w:color w:val="404040" w:themeColor="text1" w:themeTint="BF"/>
        </w:rPr>
        <w:t>P</w:t>
      </w:r>
      <w:r w:rsidRPr="00743973">
        <w:rPr>
          <w:rFonts w:cstheme="minorHAnsi"/>
          <w:color w:val="404040" w:themeColor="text1" w:themeTint="BF"/>
        </w:rPr>
        <w:t>racovním programu 2018-2020</w:t>
      </w:r>
      <w:r>
        <w:rPr>
          <w:rFonts w:cstheme="minorHAnsi"/>
          <w:color w:val="404040" w:themeColor="text1" w:themeTint="BF"/>
        </w:rPr>
        <w:t xml:space="preserve"> </w:t>
      </w:r>
      <w:r w:rsidRPr="00743973">
        <w:rPr>
          <w:rFonts w:cstheme="minorHAnsi"/>
          <w:color w:val="404040" w:themeColor="text1" w:themeTint="BF"/>
        </w:rPr>
        <w:t>pro automatizaci dopravy Horizont</w:t>
      </w:r>
      <w:r>
        <w:rPr>
          <w:rFonts w:cstheme="minorHAnsi"/>
          <w:color w:val="404040" w:themeColor="text1" w:themeTint="BF"/>
        </w:rPr>
        <w:t>u</w:t>
      </w:r>
      <w:r w:rsidRPr="00743973">
        <w:rPr>
          <w:rFonts w:cstheme="minorHAnsi"/>
          <w:color w:val="404040" w:themeColor="text1" w:themeTint="BF"/>
        </w:rPr>
        <w:t xml:space="preserve"> 2020.</w:t>
      </w:r>
    </w:p>
    <w:p w:rsidR="005942E7" w:rsidRPr="00743973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743973">
        <w:rPr>
          <w:rFonts w:cstheme="minorHAnsi"/>
          <w:color w:val="404040" w:themeColor="text1" w:themeTint="BF"/>
        </w:rPr>
        <w:t xml:space="preserve">konzultovat </w:t>
      </w:r>
      <w:r>
        <w:rPr>
          <w:rFonts w:cstheme="minorHAnsi"/>
          <w:color w:val="404040" w:themeColor="text1" w:themeTint="BF"/>
        </w:rPr>
        <w:t xml:space="preserve">se </w:t>
      </w:r>
      <w:r w:rsidRPr="00743973">
        <w:rPr>
          <w:rFonts w:cstheme="minorHAnsi"/>
          <w:color w:val="404040" w:themeColor="text1" w:themeTint="BF"/>
        </w:rPr>
        <w:t>zúčastněn</w:t>
      </w:r>
      <w:r>
        <w:rPr>
          <w:rFonts w:cstheme="minorHAnsi"/>
          <w:color w:val="404040" w:themeColor="text1" w:themeTint="BF"/>
        </w:rPr>
        <w:t>ými</w:t>
      </w:r>
      <w:r w:rsidRPr="00743973">
        <w:rPr>
          <w:rFonts w:cstheme="minorHAnsi"/>
          <w:color w:val="404040" w:themeColor="text1" w:themeTint="BF"/>
        </w:rPr>
        <w:t xml:space="preserve"> stran</w:t>
      </w:r>
      <w:r>
        <w:rPr>
          <w:rFonts w:cstheme="minorHAnsi"/>
          <w:color w:val="404040" w:themeColor="text1" w:themeTint="BF"/>
        </w:rPr>
        <w:t>ami s</w:t>
      </w:r>
      <w:r w:rsidRPr="00743973">
        <w:rPr>
          <w:rFonts w:cstheme="minorHAnsi"/>
          <w:color w:val="404040" w:themeColor="text1" w:themeTint="BF"/>
        </w:rPr>
        <w:t>ociálně-ekonomick</w:t>
      </w:r>
      <w:r>
        <w:rPr>
          <w:rFonts w:cstheme="minorHAnsi"/>
          <w:color w:val="404040" w:themeColor="text1" w:themeTint="BF"/>
        </w:rPr>
        <w:t>é</w:t>
      </w:r>
      <w:r w:rsidRPr="00743973">
        <w:rPr>
          <w:rFonts w:cstheme="minorHAnsi"/>
          <w:color w:val="404040" w:themeColor="text1" w:themeTint="BF"/>
        </w:rPr>
        <w:t xml:space="preserve"> a environmentální dopad</w:t>
      </w:r>
      <w:r>
        <w:rPr>
          <w:rFonts w:cstheme="minorHAnsi"/>
          <w:color w:val="404040" w:themeColor="text1" w:themeTint="BF"/>
        </w:rPr>
        <w:t>y</w:t>
      </w:r>
      <w:r w:rsidRPr="00743973">
        <w:rPr>
          <w:rFonts w:cstheme="minorHAnsi"/>
          <w:color w:val="404040" w:themeColor="text1" w:themeTint="BF"/>
        </w:rPr>
        <w:t xml:space="preserve"> mobility bez řidiče.</w:t>
      </w:r>
    </w:p>
    <w:p w:rsidR="005942E7" w:rsidRPr="00743973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bude</w:t>
      </w:r>
      <w:r w:rsidRPr="00743973">
        <w:rPr>
          <w:rFonts w:cstheme="minorHAnsi"/>
          <w:color w:val="404040" w:themeColor="text1" w:themeTint="BF"/>
        </w:rPr>
        <w:t xml:space="preserve"> podporovat získávání nových dovedností, u</w:t>
      </w:r>
      <w:r>
        <w:rPr>
          <w:rFonts w:cstheme="minorHAnsi"/>
          <w:color w:val="404040" w:themeColor="text1" w:themeTint="BF"/>
        </w:rPr>
        <w:t>držení</w:t>
      </w:r>
      <w:r w:rsidRPr="00743973">
        <w:rPr>
          <w:rFonts w:cstheme="minorHAnsi"/>
          <w:color w:val="404040" w:themeColor="text1" w:themeTint="BF"/>
        </w:rPr>
        <w:t xml:space="preserve"> a rekvalifik</w:t>
      </w:r>
      <w:r>
        <w:rPr>
          <w:rFonts w:cstheme="minorHAnsi"/>
          <w:color w:val="404040" w:themeColor="text1" w:themeTint="BF"/>
        </w:rPr>
        <w:t>aci</w:t>
      </w:r>
      <w:r w:rsidRPr="00743973">
        <w:rPr>
          <w:rFonts w:cstheme="minorHAnsi"/>
          <w:color w:val="404040" w:themeColor="text1" w:themeTint="BF"/>
        </w:rPr>
        <w:t xml:space="preserve"> pracovníky v tomto odvětví prostřednictvím nové agendy v oblasti dovedností pro Evropu a vyhodnocovat možnosti </w:t>
      </w:r>
      <w:r>
        <w:rPr>
          <w:rFonts w:cstheme="minorHAnsi"/>
          <w:color w:val="404040" w:themeColor="text1" w:themeTint="BF"/>
        </w:rPr>
        <w:t xml:space="preserve">usnadnění </w:t>
      </w:r>
      <w:r w:rsidRPr="00743973">
        <w:rPr>
          <w:rFonts w:cstheme="minorHAnsi"/>
          <w:color w:val="404040" w:themeColor="text1" w:themeTint="BF"/>
        </w:rPr>
        <w:t xml:space="preserve">přechodu </w:t>
      </w:r>
      <w:r>
        <w:rPr>
          <w:rFonts w:cstheme="minorHAnsi"/>
          <w:color w:val="404040" w:themeColor="text1" w:themeTint="BF"/>
        </w:rPr>
        <w:t>k </w:t>
      </w:r>
      <w:r w:rsidRPr="00743973">
        <w:rPr>
          <w:rFonts w:cstheme="minorHAnsi"/>
          <w:color w:val="404040" w:themeColor="text1" w:themeTint="BF"/>
        </w:rPr>
        <w:t>automatiz</w:t>
      </w:r>
      <w:r>
        <w:rPr>
          <w:rFonts w:cstheme="minorHAnsi"/>
          <w:color w:val="404040" w:themeColor="text1" w:themeTint="BF"/>
        </w:rPr>
        <w:t>ované mobilitě</w:t>
      </w:r>
      <w:r w:rsidRPr="00743973">
        <w:rPr>
          <w:rFonts w:cstheme="minorHAnsi"/>
          <w:color w:val="404040" w:themeColor="text1" w:themeTint="BF"/>
        </w:rPr>
        <w:t>.</w:t>
      </w:r>
    </w:p>
    <w:p w:rsidR="005942E7" w:rsidRPr="00743973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 w:rsidRPr="00743973">
        <w:rPr>
          <w:rFonts w:cstheme="minorHAnsi"/>
          <w:color w:val="404040" w:themeColor="text1" w:themeTint="BF"/>
        </w:rPr>
        <w:t>podpoř</w:t>
      </w:r>
      <w:r>
        <w:rPr>
          <w:rFonts w:cstheme="minorHAnsi"/>
          <w:color w:val="404040" w:themeColor="text1" w:themeTint="BF"/>
        </w:rPr>
        <w:t>í</w:t>
      </w:r>
      <w:r w:rsidRPr="00743973">
        <w:rPr>
          <w:rFonts w:cstheme="minorHAnsi"/>
          <w:color w:val="404040" w:themeColor="text1" w:themeTint="BF"/>
        </w:rPr>
        <w:t xml:space="preserve"> členské státy v jejich úsilí zajistit hladk</w:t>
      </w:r>
      <w:r>
        <w:rPr>
          <w:rFonts w:cstheme="minorHAnsi"/>
          <w:color w:val="404040" w:themeColor="text1" w:themeTint="BF"/>
        </w:rPr>
        <w:t>ý</w:t>
      </w:r>
      <w:r w:rsidRPr="00743973">
        <w:rPr>
          <w:rFonts w:cstheme="minorHAnsi"/>
          <w:color w:val="404040" w:themeColor="text1" w:themeTint="BF"/>
        </w:rPr>
        <w:t xml:space="preserve"> přechod trhu práce pro </w:t>
      </w:r>
      <w:r>
        <w:rPr>
          <w:rFonts w:cstheme="minorHAnsi"/>
          <w:color w:val="404040" w:themeColor="text1" w:themeTint="BF"/>
        </w:rPr>
        <w:t xml:space="preserve">tímto </w:t>
      </w:r>
      <w:r w:rsidRPr="00743973">
        <w:rPr>
          <w:rFonts w:cstheme="minorHAnsi"/>
          <w:color w:val="404040" w:themeColor="text1" w:themeTint="BF"/>
        </w:rPr>
        <w:t>postižené pracovníky.</w:t>
      </w:r>
    </w:p>
    <w:p w:rsidR="005942E7" w:rsidRDefault="005942E7" w:rsidP="00B6003D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uskuteční</w:t>
      </w:r>
      <w:r w:rsidRPr="00743973">
        <w:rPr>
          <w:rFonts w:cstheme="minorHAnsi"/>
          <w:color w:val="404040" w:themeColor="text1" w:themeTint="BF"/>
        </w:rPr>
        <w:t xml:space="preserve"> fórum EU zaměřené na řešení specifických etických otázek vyvolaných mobilit</w:t>
      </w:r>
      <w:r>
        <w:rPr>
          <w:rFonts w:cstheme="minorHAnsi"/>
          <w:color w:val="404040" w:themeColor="text1" w:themeTint="BF"/>
        </w:rPr>
        <w:t>ou</w:t>
      </w:r>
      <w:r w:rsidRPr="00743973">
        <w:rPr>
          <w:rFonts w:cstheme="minorHAnsi"/>
          <w:color w:val="404040" w:themeColor="text1" w:themeTint="BF"/>
        </w:rPr>
        <w:t xml:space="preserve"> bez řidiče.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094C77">
        <w:rPr>
          <w:rFonts w:cstheme="minorHAnsi"/>
          <w:color w:val="404040" w:themeColor="text1" w:themeTint="BF"/>
        </w:rPr>
        <w:t>Komise vyzývá všechny zúčastněné strany, zejména členské státy, průmysl, sociální partnery a občanskou společnost, aby podpořily přístup uvedený v tomto sdělení. V rychle se měnícím světě musí Evropa využít této příležitosti jako lídra v poskytování bezpečn</w:t>
      </w:r>
      <w:r>
        <w:rPr>
          <w:rFonts w:cstheme="minorHAnsi"/>
          <w:color w:val="404040" w:themeColor="text1" w:themeTint="BF"/>
        </w:rPr>
        <w:t>é</w:t>
      </w:r>
      <w:r w:rsidRPr="00094C77">
        <w:rPr>
          <w:rFonts w:cstheme="minorHAnsi"/>
          <w:color w:val="404040" w:themeColor="text1" w:themeTint="BF"/>
        </w:rPr>
        <w:t>, účinn</w:t>
      </w:r>
      <w:r>
        <w:rPr>
          <w:rFonts w:cstheme="minorHAnsi"/>
          <w:color w:val="404040" w:themeColor="text1" w:themeTint="BF"/>
        </w:rPr>
        <w:t>é</w:t>
      </w:r>
      <w:r w:rsidRPr="00094C77">
        <w:rPr>
          <w:rFonts w:cstheme="minorHAnsi"/>
          <w:color w:val="404040" w:themeColor="text1" w:themeTint="BF"/>
        </w:rPr>
        <w:t>, sociálně odpovědn</w:t>
      </w:r>
      <w:r>
        <w:rPr>
          <w:rFonts w:cstheme="minorHAnsi"/>
          <w:color w:val="404040" w:themeColor="text1" w:themeTint="BF"/>
        </w:rPr>
        <w:t>é</w:t>
      </w:r>
      <w:r w:rsidRPr="00094C77">
        <w:rPr>
          <w:rFonts w:cstheme="minorHAnsi"/>
          <w:color w:val="404040" w:themeColor="text1" w:themeTint="BF"/>
        </w:rPr>
        <w:t xml:space="preserve"> a k životnímu prostředí </w:t>
      </w:r>
      <w:r>
        <w:rPr>
          <w:rFonts w:cstheme="minorHAnsi"/>
          <w:color w:val="404040" w:themeColor="text1" w:themeTint="BF"/>
        </w:rPr>
        <w:t xml:space="preserve">šetrné </w:t>
      </w:r>
      <w:r w:rsidRPr="00743973">
        <w:rPr>
          <w:rFonts w:cstheme="minorHAnsi"/>
          <w:color w:val="404040" w:themeColor="text1" w:themeTint="BF"/>
        </w:rPr>
        <w:t>mobility bez řidiče</w:t>
      </w:r>
      <w:r w:rsidRPr="00094C77">
        <w:rPr>
          <w:rFonts w:cstheme="minorHAnsi"/>
          <w:color w:val="404040" w:themeColor="text1" w:themeTint="BF"/>
        </w:rPr>
        <w:t xml:space="preserve"> občan</w:t>
      </w:r>
      <w:r>
        <w:rPr>
          <w:rFonts w:cstheme="minorHAnsi"/>
          <w:color w:val="404040" w:themeColor="text1" w:themeTint="BF"/>
        </w:rPr>
        <w:t>ům</w:t>
      </w:r>
      <w:r w:rsidRPr="00094C77">
        <w:rPr>
          <w:rFonts w:cstheme="minorHAnsi"/>
          <w:color w:val="404040" w:themeColor="text1" w:themeTint="BF"/>
        </w:rPr>
        <w:t xml:space="preserve"> EU.</w:t>
      </w:r>
    </w:p>
    <w:p w:rsidR="005942E7" w:rsidRDefault="005942E7" w:rsidP="005942E7">
      <w:r>
        <w:br w:type="page"/>
      </w: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6" w:name="_Ref515184555"/>
      <w:r w:rsidRPr="00202254">
        <w:rPr>
          <w:rFonts w:ascii="Calibri" w:hAnsi="Calibri" w:cs="Calibri"/>
          <w:b/>
          <w:color w:val="404040" w:themeColor="text1" w:themeTint="BF"/>
        </w:rPr>
        <w:lastRenderedPageBreak/>
        <w:t>Jednotný portál evropského námořního prostředí</w:t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  <w:bookmarkEnd w:id="6"/>
    </w:p>
    <w:p w:rsidR="005942E7" w:rsidRPr="00AD4C64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18"/>
        </w:rPr>
      </w:pPr>
      <w:hyperlink r:id="rId88" w:history="1">
        <w:r w:rsidR="005942E7" w:rsidRPr="00AD4C64">
          <w:rPr>
            <w:rStyle w:val="Hypertextovodkaz"/>
            <w:rFonts w:ascii="Calibri" w:hAnsi="Calibri" w:cs="Calibri"/>
            <w:b/>
            <w:sz w:val="18"/>
          </w:rPr>
          <w:t>Návrh nařízení, kterým se zřizuje jednotný portál pro evropské námořní prostředí a kterým se zrušuje směrnice 2010/65/EU</w:t>
        </w:r>
      </w:hyperlink>
    </w:p>
    <w:p w:rsidR="005942E7" w:rsidRPr="00AD4C6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89" w:history="1">
        <w:r w:rsidR="005942E7" w:rsidRPr="00AD4C64">
          <w:rPr>
            <w:rStyle w:val="Hypertextovodkaz"/>
            <w:rFonts w:ascii="Calibri" w:hAnsi="Calibri" w:cs="Calibri"/>
            <w:sz w:val="18"/>
          </w:rPr>
          <w:t>Příloha k nařízení</w:t>
        </w:r>
      </w:hyperlink>
    </w:p>
    <w:p w:rsidR="005942E7" w:rsidRPr="00AD4C6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90" w:history="1">
        <w:r w:rsidR="005942E7" w:rsidRPr="00AD4C64">
          <w:rPr>
            <w:rStyle w:val="Hypertextovodkaz"/>
            <w:rFonts w:ascii="Calibri" w:hAnsi="Calibri" w:cs="Calibri"/>
            <w:sz w:val="18"/>
          </w:rPr>
          <w:t>Posouzení dopadů</w:t>
        </w:r>
      </w:hyperlink>
    </w:p>
    <w:p w:rsidR="005942E7" w:rsidRPr="00AD4C6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91" w:history="1">
        <w:r w:rsidR="005942E7" w:rsidRPr="00AD4C64">
          <w:rPr>
            <w:rStyle w:val="Hypertextovodkaz"/>
            <w:rFonts w:ascii="Calibri" w:hAnsi="Calibri" w:cs="Calibri"/>
            <w:sz w:val="18"/>
          </w:rPr>
          <w:t>Manažerské shrnutí posouzení dopadů</w:t>
        </w:r>
      </w:hyperlink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0A33B4">
        <w:rPr>
          <w:rFonts w:cstheme="minorHAnsi"/>
          <w:color w:val="404040" w:themeColor="text1" w:themeTint="BF"/>
        </w:rPr>
        <w:t xml:space="preserve">Provozovatelé námořní dopravy čelí široké škále právních požadavků na podávání zpráv při každém </w:t>
      </w:r>
      <w:r>
        <w:rPr>
          <w:rFonts w:cstheme="minorHAnsi"/>
          <w:color w:val="404040" w:themeColor="text1" w:themeTint="BF"/>
        </w:rPr>
        <w:t>vstupu či</w:t>
      </w:r>
      <w:r w:rsidRPr="000A33B4">
        <w:rPr>
          <w:rFonts w:cstheme="minorHAnsi"/>
          <w:color w:val="404040" w:themeColor="text1" w:themeTint="BF"/>
        </w:rPr>
        <w:t xml:space="preserve"> opuštění přístavu. Skutečnost, že požadavky na podávání zpráv nejsou harmonizovány, </w:t>
      </w:r>
      <w:r>
        <w:rPr>
          <w:rFonts w:cstheme="minorHAnsi"/>
          <w:color w:val="404040" w:themeColor="text1" w:themeTint="BF"/>
        </w:rPr>
        <w:t>znamená</w:t>
      </w:r>
      <w:r w:rsidRPr="000A33B4">
        <w:rPr>
          <w:rFonts w:cstheme="minorHAnsi"/>
          <w:color w:val="404040" w:themeColor="text1" w:themeTint="BF"/>
        </w:rPr>
        <w:t xml:space="preserve"> značnou administrativní zátěž. V EU se každoročně uskutečňuje více než dva miliony </w:t>
      </w:r>
      <w:r>
        <w:rPr>
          <w:rFonts w:cstheme="minorHAnsi"/>
          <w:color w:val="404040" w:themeColor="text1" w:themeTint="BF"/>
        </w:rPr>
        <w:t>takovýchto zastavení v přístavu</w:t>
      </w:r>
      <w:r w:rsidRPr="000A33B4">
        <w:rPr>
          <w:rFonts w:cstheme="minorHAnsi"/>
          <w:color w:val="404040" w:themeColor="text1" w:themeTint="BF"/>
        </w:rPr>
        <w:t>. Zaměstnanci</w:t>
      </w:r>
      <w:r>
        <w:rPr>
          <w:rFonts w:cstheme="minorHAnsi"/>
          <w:color w:val="404040" w:themeColor="text1" w:themeTint="BF"/>
        </w:rPr>
        <w:t xml:space="preserve"> </w:t>
      </w:r>
      <w:r w:rsidRPr="000A33B4">
        <w:rPr>
          <w:rFonts w:cstheme="minorHAnsi"/>
          <w:color w:val="404040" w:themeColor="text1" w:themeTint="BF"/>
        </w:rPr>
        <w:t>v současnosti vynakládají zhruba 4,6 mil</w:t>
      </w:r>
      <w:r>
        <w:rPr>
          <w:rFonts w:cstheme="minorHAnsi"/>
          <w:color w:val="404040" w:themeColor="text1" w:themeTint="BF"/>
        </w:rPr>
        <w:t>.</w:t>
      </w:r>
      <w:r w:rsidRPr="000A33B4">
        <w:rPr>
          <w:rFonts w:cstheme="minorHAnsi"/>
          <w:color w:val="404040" w:themeColor="text1" w:themeTint="BF"/>
        </w:rPr>
        <w:t xml:space="preserve"> hodin na </w:t>
      </w:r>
      <w:r>
        <w:rPr>
          <w:rFonts w:cstheme="minorHAnsi"/>
          <w:color w:val="404040" w:themeColor="text1" w:themeTint="BF"/>
        </w:rPr>
        <w:t xml:space="preserve">různá </w:t>
      </w:r>
      <w:r w:rsidRPr="000A33B4">
        <w:rPr>
          <w:rFonts w:cstheme="minorHAnsi"/>
          <w:color w:val="404040" w:themeColor="text1" w:themeTint="BF"/>
        </w:rPr>
        <w:t>vykazování</w:t>
      </w:r>
      <w:r>
        <w:rPr>
          <w:rFonts w:cstheme="minorHAnsi"/>
          <w:color w:val="404040" w:themeColor="text1" w:themeTint="BF"/>
        </w:rPr>
        <w:t xml:space="preserve"> a hlášení</w:t>
      </w:r>
      <w:r w:rsidRPr="000A33B4">
        <w:rPr>
          <w:rFonts w:cstheme="minorHAnsi"/>
          <w:color w:val="404040" w:themeColor="text1" w:themeTint="BF"/>
        </w:rPr>
        <w:t>.</w:t>
      </w:r>
    </w:p>
    <w:p w:rsidR="005942E7" w:rsidRPr="00AD412B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AD412B">
        <w:rPr>
          <w:rFonts w:cstheme="minorHAnsi"/>
          <w:b/>
          <w:color w:val="404040" w:themeColor="text1" w:themeTint="BF"/>
          <w:u w:val="single"/>
        </w:rPr>
        <w:t>Hodnocení dopadů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746C1F">
        <w:rPr>
          <w:rFonts w:cstheme="minorHAnsi"/>
          <w:color w:val="404040" w:themeColor="text1" w:themeTint="BF"/>
        </w:rPr>
        <w:t xml:space="preserve">Upřednostňovanou </w:t>
      </w:r>
      <w:r>
        <w:rPr>
          <w:rFonts w:cstheme="minorHAnsi"/>
          <w:color w:val="404040" w:themeColor="text1" w:themeTint="BF"/>
        </w:rPr>
        <w:t>variantou</w:t>
      </w:r>
      <w:r w:rsidRPr="00746C1F">
        <w:rPr>
          <w:rFonts w:cstheme="minorHAnsi"/>
          <w:color w:val="404040" w:themeColor="text1" w:themeTint="BF"/>
        </w:rPr>
        <w:t>, založenou na poměru nákladů a přínosů, přijetí zainteresovaných stran a</w:t>
      </w:r>
      <w:r>
        <w:rPr>
          <w:rFonts w:cstheme="minorHAnsi"/>
          <w:color w:val="404040" w:themeColor="text1" w:themeTint="BF"/>
        </w:rPr>
        <w:t> </w:t>
      </w:r>
      <w:r w:rsidRPr="00746C1F">
        <w:rPr>
          <w:rFonts w:cstheme="minorHAnsi"/>
          <w:color w:val="404040" w:themeColor="text1" w:themeTint="BF"/>
        </w:rPr>
        <w:t xml:space="preserve">očekávané efektivnosti a hodnocení rizik, je </w:t>
      </w:r>
      <w:r w:rsidRPr="00AD412B">
        <w:rPr>
          <w:rFonts w:cstheme="minorHAnsi"/>
          <w:b/>
          <w:color w:val="404040" w:themeColor="text1" w:themeTint="BF"/>
        </w:rPr>
        <w:t>možnost B1</w:t>
      </w:r>
      <w:r w:rsidRPr="00746C1F">
        <w:rPr>
          <w:rFonts w:cstheme="minorHAnsi"/>
          <w:color w:val="404040" w:themeColor="text1" w:themeTint="BF"/>
        </w:rPr>
        <w:t xml:space="preserve">. To znamená celkové očekávané dodatečné </w:t>
      </w:r>
      <w:r w:rsidRPr="00AD412B">
        <w:rPr>
          <w:rFonts w:cstheme="minorHAnsi"/>
          <w:b/>
          <w:color w:val="404040" w:themeColor="text1" w:themeTint="BF"/>
        </w:rPr>
        <w:t>náklady ve výši 29,4 mil. EUR</w:t>
      </w:r>
      <w:r w:rsidRPr="00746C1F">
        <w:rPr>
          <w:rFonts w:cstheme="minorHAnsi"/>
          <w:color w:val="404040" w:themeColor="text1" w:themeTint="BF"/>
        </w:rPr>
        <w:t xml:space="preserve"> mezi roky 2020 a 2030 a očekávané </w:t>
      </w:r>
      <w:r w:rsidRPr="00AD412B">
        <w:rPr>
          <w:rFonts w:cstheme="minorHAnsi"/>
          <w:b/>
          <w:color w:val="404040" w:themeColor="text1" w:themeTint="BF"/>
        </w:rPr>
        <w:t>přínosy</w:t>
      </w:r>
      <w:r w:rsidRPr="00746C1F">
        <w:rPr>
          <w:rFonts w:cstheme="minorHAnsi"/>
          <w:color w:val="404040" w:themeColor="text1" w:themeTint="BF"/>
        </w:rPr>
        <w:t xml:space="preserve"> ve výši 22 </w:t>
      </w:r>
      <w:r>
        <w:rPr>
          <w:rFonts w:cstheme="minorHAnsi"/>
          <w:color w:val="404040" w:themeColor="text1" w:themeTint="BF"/>
        </w:rPr>
        <w:t xml:space="preserve">– </w:t>
      </w:r>
      <w:r w:rsidRPr="00746C1F">
        <w:rPr>
          <w:rFonts w:cstheme="minorHAnsi"/>
          <w:color w:val="404040" w:themeColor="text1" w:themeTint="BF"/>
        </w:rPr>
        <w:t xml:space="preserve"> 25 mil</w:t>
      </w:r>
      <w:r>
        <w:rPr>
          <w:rFonts w:cstheme="minorHAnsi"/>
          <w:color w:val="404040" w:themeColor="text1" w:themeTint="BF"/>
        </w:rPr>
        <w:t>.</w:t>
      </w:r>
      <w:r w:rsidRPr="00746C1F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člověkohodin</w:t>
      </w:r>
      <w:r w:rsidRPr="00746C1F">
        <w:rPr>
          <w:rFonts w:cstheme="minorHAnsi"/>
          <w:color w:val="404040" w:themeColor="text1" w:themeTint="BF"/>
        </w:rPr>
        <w:t xml:space="preserve"> ušetřených ve stejném časovém období</w:t>
      </w:r>
      <w:r>
        <w:rPr>
          <w:rFonts w:cstheme="minorHAnsi"/>
          <w:color w:val="404040" w:themeColor="text1" w:themeTint="BF"/>
        </w:rPr>
        <w:t xml:space="preserve"> (ekvivalent </w:t>
      </w:r>
      <w:r w:rsidRPr="00AD412B">
        <w:rPr>
          <w:rFonts w:cstheme="minorHAnsi"/>
          <w:b/>
          <w:color w:val="404040" w:themeColor="text1" w:themeTint="BF"/>
        </w:rPr>
        <w:t>625 – 720 mil. EUR pro dopravce</w:t>
      </w:r>
      <w:r>
        <w:rPr>
          <w:rFonts w:cstheme="minorHAnsi"/>
          <w:color w:val="404040" w:themeColor="text1" w:themeTint="BF"/>
        </w:rPr>
        <w:t>)</w:t>
      </w:r>
      <w:r w:rsidRPr="00746C1F">
        <w:rPr>
          <w:rFonts w:cstheme="minorHAnsi"/>
          <w:color w:val="404040" w:themeColor="text1" w:themeTint="BF"/>
        </w:rPr>
        <w:t xml:space="preserve">. </w:t>
      </w:r>
      <w:r>
        <w:rPr>
          <w:rFonts w:cstheme="minorHAnsi"/>
          <w:color w:val="404040" w:themeColor="text1" w:themeTint="BF"/>
        </w:rPr>
        <w:t>M</w:t>
      </w:r>
      <w:r w:rsidRPr="00746C1F">
        <w:rPr>
          <w:rFonts w:cstheme="minorHAnsi"/>
          <w:color w:val="404040" w:themeColor="text1" w:themeTint="BF"/>
        </w:rPr>
        <w:t xml:space="preserve">ožnost </w:t>
      </w:r>
      <w:r>
        <w:rPr>
          <w:rFonts w:cstheme="minorHAnsi"/>
          <w:color w:val="404040" w:themeColor="text1" w:themeTint="BF"/>
        </w:rPr>
        <w:t>z</w:t>
      </w:r>
      <w:r w:rsidRPr="00746C1F">
        <w:rPr>
          <w:rFonts w:cstheme="minorHAnsi"/>
          <w:color w:val="404040" w:themeColor="text1" w:themeTint="BF"/>
        </w:rPr>
        <w:t xml:space="preserve">ajistí harmonizované prostředí pro podávání zpráv, při současném respektování stávajícího systému Single National Windows a využití již provedených investic. Zatížení členských států je minimalizováno tím, že </w:t>
      </w:r>
      <w:r>
        <w:rPr>
          <w:rFonts w:cstheme="minorHAnsi"/>
          <w:color w:val="404040" w:themeColor="text1" w:themeTint="BF"/>
        </w:rPr>
        <w:t xml:space="preserve">se </w:t>
      </w:r>
      <w:r w:rsidRPr="00746C1F">
        <w:rPr>
          <w:rFonts w:cstheme="minorHAnsi"/>
          <w:color w:val="404040" w:themeColor="text1" w:themeTint="BF"/>
        </w:rPr>
        <w:t>všem poskytne stejný softwarový balíček vyvinutý na úrovni EU</w:t>
      </w:r>
      <w:r>
        <w:rPr>
          <w:rFonts w:cstheme="minorHAnsi"/>
          <w:color w:val="404040" w:themeColor="text1" w:themeTint="BF"/>
        </w:rPr>
        <w:t>. Podrobnosti v samotném návrhu.</w:t>
      </w:r>
    </w:p>
    <w:p w:rsidR="005942E7" w:rsidRPr="00202254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7" w:name="_Ref515184579"/>
      <w:r w:rsidRPr="00202254">
        <w:rPr>
          <w:rFonts w:ascii="Calibri" w:hAnsi="Calibri" w:cs="Calibri"/>
          <w:b/>
          <w:color w:val="404040" w:themeColor="text1" w:themeTint="BF"/>
        </w:rPr>
        <w:t>Kontrola účelnosti legislativního rámce námořní dopravy</w:t>
      </w:r>
      <w:bookmarkEnd w:id="7"/>
      <w:r w:rsidR="008C23B5">
        <w:rPr>
          <w:rFonts w:ascii="Calibri" w:hAnsi="Calibri" w:cs="Calibri"/>
          <w:b/>
          <w:color w:val="404040" w:themeColor="text1" w:themeTint="BF"/>
        </w:rPr>
        <w:tab/>
      </w:r>
      <w:r w:rsidR="008C23B5">
        <w:rPr>
          <w:rFonts w:ascii="Calibri" w:hAnsi="Calibri" w:cs="Calibri"/>
          <w:b/>
          <w:color w:val="404040" w:themeColor="text1" w:themeTint="BF"/>
        </w:rPr>
        <w:tab/>
      </w:r>
      <w:r w:rsidR="008C23B5">
        <w:rPr>
          <w:rFonts w:ascii="Calibri" w:hAnsi="Calibri" w:cs="Calibri"/>
          <w:b/>
          <w:color w:val="404040" w:themeColor="text1" w:themeTint="BF"/>
        </w:rPr>
        <w:tab/>
      </w:r>
      <w:r w:rsidR="008C23B5">
        <w:rPr>
          <w:rFonts w:ascii="Calibri" w:hAnsi="Calibri" w:cs="Calibri"/>
          <w:b/>
          <w:color w:val="404040" w:themeColor="text1" w:themeTint="BF"/>
        </w:rPr>
        <w:tab/>
      </w:r>
      <w:r w:rsidR="008C23B5">
        <w:rPr>
          <w:rFonts w:ascii="Calibri" w:hAnsi="Calibri" w:cs="Calibri"/>
          <w:b/>
          <w:color w:val="404040" w:themeColor="text1" w:themeTint="BF"/>
        </w:rPr>
        <w:fldChar w:fldCharType="begin"/>
      </w:r>
      <w:r w:rsidR="008C23B5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8C23B5">
        <w:rPr>
          <w:rFonts w:ascii="Calibri" w:hAnsi="Calibri" w:cs="Calibri"/>
          <w:b/>
          <w:color w:val="404040" w:themeColor="text1" w:themeTint="BF"/>
        </w:rPr>
      </w:r>
      <w:r w:rsidR="008C23B5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8C23B5">
        <w:rPr>
          <w:rFonts w:ascii="Calibri" w:hAnsi="Calibri" w:cs="Calibri"/>
          <w:color w:val="FF0000"/>
        </w:rPr>
        <w:t>přejít na obsah</w:t>
      </w:r>
      <w:r w:rsidR="008C23B5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AD4C64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18"/>
        </w:rPr>
      </w:pPr>
      <w:hyperlink r:id="rId92" w:history="1">
        <w:r w:rsidR="005942E7" w:rsidRPr="00AD4C64">
          <w:rPr>
            <w:rStyle w:val="Hypertextovodkaz"/>
            <w:rFonts w:ascii="Calibri" w:hAnsi="Calibri" w:cs="Calibri"/>
            <w:b/>
            <w:sz w:val="18"/>
          </w:rPr>
          <w:t>Kontrola účelnosti</w:t>
        </w:r>
      </w:hyperlink>
    </w:p>
    <w:p w:rsidR="005942E7" w:rsidRPr="00AD4C6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93" w:history="1">
        <w:r w:rsidR="005942E7" w:rsidRPr="00AD4C64">
          <w:rPr>
            <w:rStyle w:val="Hypertextovodkaz"/>
            <w:rFonts w:ascii="Calibri" w:hAnsi="Calibri" w:cs="Calibri"/>
            <w:sz w:val="18"/>
          </w:rPr>
          <w:t>Manažerské shrnutí</w:t>
        </w:r>
      </w:hyperlink>
    </w:p>
    <w:p w:rsidR="005942E7" w:rsidRPr="00AD4C64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94" w:history="1">
        <w:r w:rsidR="005942E7" w:rsidRPr="00AD4C64">
          <w:rPr>
            <w:rStyle w:val="Hypertextovodkaz"/>
            <w:rFonts w:ascii="Calibri" w:hAnsi="Calibri" w:cs="Calibri"/>
            <w:sz w:val="18"/>
          </w:rPr>
          <w:t>Hodnocení směrnice 2009/16/ES o státní přístavní inspekci</w:t>
        </w:r>
      </w:hyperlink>
    </w:p>
    <w:p w:rsidR="005942E7" w:rsidRPr="00AD4C6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95" w:history="1">
        <w:r w:rsidR="005942E7" w:rsidRPr="00AD4C64">
          <w:rPr>
            <w:rStyle w:val="Hypertextovodkaz"/>
            <w:rFonts w:ascii="Calibri" w:hAnsi="Calibri" w:cs="Calibri"/>
            <w:sz w:val="18"/>
          </w:rPr>
          <w:t>Manažerské shrnutí</w:t>
        </w:r>
      </w:hyperlink>
    </w:p>
    <w:p w:rsidR="005942E7" w:rsidRPr="00AD4C64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96" w:history="1">
        <w:r w:rsidR="005942E7" w:rsidRPr="00AD4C64">
          <w:rPr>
            <w:rStyle w:val="Hypertextovodkaz"/>
            <w:rFonts w:ascii="Calibri" w:hAnsi="Calibri" w:cs="Calibri"/>
            <w:sz w:val="18"/>
          </w:rPr>
          <w:t>Hodnocení směrnice 2009/21/ES o souladu s požadavky na stát vlajky a směrnice 2009/18/ES o vyšetřování nehod</w:t>
        </w:r>
      </w:hyperlink>
    </w:p>
    <w:p w:rsidR="005942E7" w:rsidRPr="00AD4C6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97" w:history="1">
        <w:r w:rsidR="005942E7" w:rsidRPr="00AD4C64">
          <w:rPr>
            <w:rStyle w:val="Hypertextovodkaz"/>
            <w:rFonts w:ascii="Calibri" w:hAnsi="Calibri" w:cs="Calibri"/>
            <w:sz w:val="18"/>
          </w:rPr>
          <w:t>Manažerské shrnutí</w:t>
        </w:r>
      </w:hyperlink>
    </w:p>
    <w:p w:rsidR="005942E7" w:rsidRPr="00AD4C64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98" w:history="1">
        <w:r w:rsidR="005942E7" w:rsidRPr="00AD4C64">
          <w:rPr>
            <w:rStyle w:val="Hypertextovodkaz"/>
            <w:rFonts w:ascii="Calibri" w:hAnsi="Calibri" w:cs="Calibri"/>
            <w:sz w:val="18"/>
          </w:rPr>
          <w:t>Hodnocení směrnice 2002/59/ES, kterou se stanoví kontrolní a informační systém Společenství pro provoz plavidel</w:t>
        </w:r>
      </w:hyperlink>
    </w:p>
    <w:p w:rsidR="005942E7" w:rsidRPr="00AD4C6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99" w:history="1">
        <w:r w:rsidR="005942E7" w:rsidRPr="00AD4C64">
          <w:rPr>
            <w:rStyle w:val="Hypertextovodkaz"/>
            <w:rFonts w:ascii="Calibri" w:hAnsi="Calibri" w:cs="Calibri"/>
            <w:sz w:val="18"/>
          </w:rPr>
          <w:t>Manažerské shrnutí</w:t>
        </w:r>
      </w:hyperlink>
    </w:p>
    <w:p w:rsidR="005942E7" w:rsidRPr="00AD4C64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100" w:history="1">
        <w:r w:rsidR="005942E7" w:rsidRPr="00AD4C64">
          <w:rPr>
            <w:rStyle w:val="Hypertextovodkaz"/>
            <w:rFonts w:ascii="Calibri" w:hAnsi="Calibri" w:cs="Calibri"/>
            <w:sz w:val="18"/>
          </w:rPr>
          <w:t>Hodnocení týkající se směrnice 2010/65/EU o ohlašovacích formalitách lodí připlouvajících do přístavů členských států nebo odplouvajících z nich</w:t>
        </w:r>
      </w:hyperlink>
    </w:p>
    <w:p w:rsidR="005942E7" w:rsidRPr="00AD4C64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18"/>
        </w:rPr>
      </w:pPr>
      <w:hyperlink r:id="rId101" w:history="1">
        <w:r w:rsidR="005942E7" w:rsidRPr="00AD4C64">
          <w:rPr>
            <w:rStyle w:val="Hypertextovodkaz"/>
            <w:rFonts w:ascii="Calibri" w:hAnsi="Calibri" w:cs="Calibri"/>
            <w:sz w:val="18"/>
          </w:rPr>
          <w:t>Manažerské shrnutí</w:t>
        </w:r>
      </w:hyperlink>
    </w:p>
    <w:p w:rsidR="005942E7" w:rsidRPr="00AD4C64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</w:rPr>
      </w:pPr>
      <w:r w:rsidRPr="00AD4C64">
        <w:rPr>
          <w:rFonts w:cstheme="minorHAnsi"/>
          <w:b/>
          <w:color w:val="404040" w:themeColor="text1" w:themeTint="BF"/>
          <w:u w:val="single"/>
        </w:rPr>
        <w:t>Doporučení</w:t>
      </w:r>
    </w:p>
    <w:p w:rsidR="005942E7" w:rsidRPr="001E4EC7" w:rsidRDefault="005942E7" w:rsidP="00B6003D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color w:val="404040" w:themeColor="text1" w:themeTint="BF"/>
        </w:rPr>
      </w:pPr>
      <w:r w:rsidRPr="001E4EC7">
        <w:rPr>
          <w:rFonts w:cstheme="minorHAnsi"/>
          <w:color w:val="404040" w:themeColor="text1" w:themeTint="BF"/>
        </w:rPr>
        <w:t>Zachovat úroveň právních předpisů EU a nadále stavět na kapacitě Evropské agentury pro námořní bezpečnost</w:t>
      </w:r>
      <w:r>
        <w:rPr>
          <w:rFonts w:cstheme="minorHAnsi"/>
          <w:color w:val="404040" w:themeColor="text1" w:themeTint="BF"/>
        </w:rPr>
        <w:t xml:space="preserve"> EMSA</w:t>
      </w:r>
      <w:r w:rsidRPr="001E4EC7">
        <w:rPr>
          <w:rFonts w:cstheme="minorHAnsi"/>
          <w:color w:val="404040" w:themeColor="text1" w:themeTint="BF"/>
        </w:rPr>
        <w:t xml:space="preserve">. </w:t>
      </w:r>
      <w:r>
        <w:rPr>
          <w:rFonts w:cstheme="minorHAnsi"/>
          <w:color w:val="404040" w:themeColor="text1" w:themeTint="BF"/>
        </w:rPr>
        <w:t xml:space="preserve">Dílčí </w:t>
      </w:r>
      <w:r w:rsidRPr="001E4EC7">
        <w:rPr>
          <w:rFonts w:cstheme="minorHAnsi"/>
          <w:color w:val="404040" w:themeColor="text1" w:themeTint="BF"/>
        </w:rPr>
        <w:t>změny lze provést bez nutnosti legislativních změn.</w:t>
      </w:r>
    </w:p>
    <w:p w:rsidR="005942E7" w:rsidRPr="001E4EC7" w:rsidRDefault="005942E7" w:rsidP="00B6003D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color w:val="404040" w:themeColor="text1" w:themeTint="BF"/>
        </w:rPr>
      </w:pPr>
      <w:r w:rsidRPr="001E4EC7">
        <w:rPr>
          <w:rFonts w:cstheme="minorHAnsi"/>
          <w:color w:val="404040" w:themeColor="text1" w:themeTint="BF"/>
        </w:rPr>
        <w:t>Pro</w:t>
      </w:r>
      <w:r>
        <w:rPr>
          <w:rFonts w:cstheme="minorHAnsi"/>
          <w:color w:val="404040" w:themeColor="text1" w:themeTint="BF"/>
        </w:rPr>
        <w:t>věřit</w:t>
      </w:r>
      <w:r w:rsidRPr="001E4EC7">
        <w:rPr>
          <w:rFonts w:cstheme="minorHAnsi"/>
          <w:color w:val="404040" w:themeColor="text1" w:themeTint="BF"/>
        </w:rPr>
        <w:t xml:space="preserve"> možnosti lepšího využívání zdrojů</w:t>
      </w:r>
      <w:r>
        <w:rPr>
          <w:rFonts w:cstheme="minorHAnsi"/>
          <w:color w:val="404040" w:themeColor="text1" w:themeTint="BF"/>
        </w:rPr>
        <w:t xml:space="preserve">. Přitom vycházet z principu </w:t>
      </w:r>
      <w:r w:rsidRPr="001E4EC7">
        <w:rPr>
          <w:rFonts w:cstheme="minorHAnsi"/>
          <w:color w:val="404040" w:themeColor="text1" w:themeTint="BF"/>
        </w:rPr>
        <w:t>komplexní</w:t>
      </w:r>
      <w:r>
        <w:rPr>
          <w:rFonts w:cstheme="minorHAnsi"/>
          <w:color w:val="404040" w:themeColor="text1" w:themeTint="BF"/>
        </w:rPr>
        <w:t>ho</w:t>
      </w:r>
      <w:r w:rsidRPr="001E4EC7">
        <w:rPr>
          <w:rFonts w:cstheme="minorHAnsi"/>
          <w:color w:val="404040" w:themeColor="text1" w:themeTint="BF"/>
        </w:rPr>
        <w:t xml:space="preserve"> p</w:t>
      </w:r>
      <w:r>
        <w:rPr>
          <w:rFonts w:cstheme="minorHAnsi"/>
          <w:color w:val="404040" w:themeColor="text1" w:themeTint="BF"/>
        </w:rPr>
        <w:t xml:space="preserve">ohledu na </w:t>
      </w:r>
      <w:r w:rsidRPr="001E4EC7">
        <w:rPr>
          <w:rFonts w:cstheme="minorHAnsi"/>
          <w:color w:val="404040" w:themeColor="text1" w:themeTint="BF"/>
        </w:rPr>
        <w:t>různ</w:t>
      </w:r>
      <w:r>
        <w:rPr>
          <w:rFonts w:cstheme="minorHAnsi"/>
          <w:color w:val="404040" w:themeColor="text1" w:themeTint="BF"/>
        </w:rPr>
        <w:t>é</w:t>
      </w:r>
      <w:r w:rsidRPr="001E4EC7">
        <w:rPr>
          <w:rFonts w:cstheme="minorHAnsi"/>
          <w:color w:val="404040" w:themeColor="text1" w:themeTint="BF"/>
        </w:rPr>
        <w:t xml:space="preserve"> povinnost</w:t>
      </w:r>
      <w:r>
        <w:rPr>
          <w:rFonts w:cstheme="minorHAnsi"/>
          <w:color w:val="404040" w:themeColor="text1" w:themeTint="BF"/>
        </w:rPr>
        <w:t>i</w:t>
      </w:r>
      <w:r w:rsidRPr="001E4EC7">
        <w:rPr>
          <w:rFonts w:cstheme="minorHAnsi"/>
          <w:color w:val="404040" w:themeColor="text1" w:themeTint="BF"/>
        </w:rPr>
        <w:t xml:space="preserve"> týkajících se inspekcí a</w:t>
      </w:r>
      <w:r>
        <w:rPr>
          <w:rFonts w:cstheme="minorHAnsi"/>
          <w:color w:val="404040" w:themeColor="text1" w:themeTint="BF"/>
        </w:rPr>
        <w:t> </w:t>
      </w:r>
      <w:r w:rsidRPr="001E4EC7">
        <w:rPr>
          <w:rFonts w:cstheme="minorHAnsi"/>
          <w:color w:val="404040" w:themeColor="text1" w:themeTint="BF"/>
        </w:rPr>
        <w:t xml:space="preserve">průzkumů, </w:t>
      </w:r>
      <w:r>
        <w:rPr>
          <w:rFonts w:cstheme="minorHAnsi"/>
          <w:color w:val="404040" w:themeColor="text1" w:themeTint="BF"/>
        </w:rPr>
        <w:t xml:space="preserve">a </w:t>
      </w:r>
      <w:r w:rsidRPr="001E4EC7">
        <w:rPr>
          <w:rFonts w:cstheme="minorHAnsi"/>
          <w:color w:val="404040" w:themeColor="text1" w:themeTint="BF"/>
        </w:rPr>
        <w:t xml:space="preserve">z úlohy a podpory poskytované </w:t>
      </w:r>
      <w:r>
        <w:rPr>
          <w:rFonts w:cstheme="minorHAnsi"/>
          <w:color w:val="404040" w:themeColor="text1" w:themeTint="BF"/>
        </w:rPr>
        <w:t>EMSA s cílem z</w:t>
      </w:r>
      <w:r w:rsidRPr="001E4EC7">
        <w:rPr>
          <w:rFonts w:cstheme="minorHAnsi"/>
          <w:color w:val="404040" w:themeColor="text1" w:themeTint="BF"/>
        </w:rPr>
        <w:t>výšení efektivity, digitalizace a sdílení informací.</w:t>
      </w:r>
    </w:p>
    <w:p w:rsidR="005942E7" w:rsidRDefault="005942E7" w:rsidP="00B6003D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P</w:t>
      </w:r>
      <w:r w:rsidRPr="001E4EC7">
        <w:rPr>
          <w:rFonts w:cstheme="minorHAnsi"/>
          <w:color w:val="404040" w:themeColor="text1" w:themeTint="BF"/>
        </w:rPr>
        <w:t xml:space="preserve">odniknout kroky k nezbytnému zjednodušení a harmonizaci ohlašovacích formalit. Kontrola </w:t>
      </w:r>
      <w:r>
        <w:rPr>
          <w:rFonts w:cstheme="minorHAnsi"/>
          <w:color w:val="404040" w:themeColor="text1" w:themeTint="BF"/>
        </w:rPr>
        <w:t>účelnosti</w:t>
      </w:r>
      <w:r w:rsidRPr="001E4EC7">
        <w:rPr>
          <w:rFonts w:cstheme="minorHAnsi"/>
          <w:color w:val="404040" w:themeColor="text1" w:themeTint="BF"/>
        </w:rPr>
        <w:t xml:space="preserve"> jasně </w:t>
      </w:r>
      <w:r>
        <w:rPr>
          <w:rFonts w:cstheme="minorHAnsi"/>
          <w:color w:val="404040" w:themeColor="text1" w:themeTint="BF"/>
        </w:rPr>
        <w:t>deklaruje</w:t>
      </w:r>
      <w:r w:rsidRPr="001E4EC7">
        <w:rPr>
          <w:rFonts w:cstheme="minorHAnsi"/>
          <w:color w:val="404040" w:themeColor="text1" w:themeTint="BF"/>
        </w:rPr>
        <w:t xml:space="preserve">, že se jedná o </w:t>
      </w:r>
      <w:r>
        <w:rPr>
          <w:rFonts w:cstheme="minorHAnsi"/>
          <w:color w:val="404040" w:themeColor="text1" w:themeTint="BF"/>
        </w:rPr>
        <w:t>a jasnou prioritu</w:t>
      </w:r>
      <w:r w:rsidRPr="001E4EC7">
        <w:rPr>
          <w:rFonts w:cstheme="minorHAnsi"/>
          <w:color w:val="404040" w:themeColor="text1" w:themeTint="BF"/>
        </w:rPr>
        <w:t xml:space="preserve"> pro nadcházející roky.</w:t>
      </w:r>
    </w:p>
    <w:p w:rsidR="005942E7" w:rsidRPr="00AD4C64" w:rsidRDefault="005942E7" w:rsidP="00B6003D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color w:val="404040" w:themeColor="text1" w:themeTint="BF"/>
        </w:rPr>
      </w:pPr>
      <w:r w:rsidRPr="00AD775B">
        <w:rPr>
          <w:rFonts w:cstheme="minorHAnsi"/>
          <w:color w:val="404040" w:themeColor="text1" w:themeTint="BF"/>
        </w:rPr>
        <w:t xml:space="preserve">Podporovat digitalizaci a </w:t>
      </w:r>
      <w:r>
        <w:rPr>
          <w:rFonts w:cstheme="minorHAnsi"/>
          <w:color w:val="404040" w:themeColor="text1" w:themeTint="BF"/>
        </w:rPr>
        <w:t>investice</w:t>
      </w:r>
      <w:r w:rsidRPr="00AD775B">
        <w:rPr>
          <w:rFonts w:cstheme="minorHAnsi"/>
          <w:color w:val="404040" w:themeColor="text1" w:themeTint="BF"/>
        </w:rPr>
        <w:t xml:space="preserve"> do digitálních systémů, aplikací a databází </w:t>
      </w:r>
      <w:r>
        <w:rPr>
          <w:rFonts w:cstheme="minorHAnsi"/>
          <w:color w:val="404040" w:themeColor="text1" w:themeTint="BF"/>
        </w:rPr>
        <w:t xml:space="preserve">EMSA s cílem </w:t>
      </w:r>
      <w:r w:rsidRPr="00AD775B">
        <w:rPr>
          <w:rFonts w:cstheme="minorHAnsi"/>
          <w:color w:val="404040" w:themeColor="text1" w:themeTint="BF"/>
        </w:rPr>
        <w:t>jejich prosazování, usnadn</w:t>
      </w:r>
      <w:r>
        <w:rPr>
          <w:rFonts w:cstheme="minorHAnsi"/>
          <w:color w:val="404040" w:themeColor="text1" w:themeTint="BF"/>
        </w:rPr>
        <w:t>ění</w:t>
      </w:r>
      <w:r w:rsidRPr="00AD775B">
        <w:rPr>
          <w:rFonts w:cstheme="minorHAnsi"/>
          <w:color w:val="404040" w:themeColor="text1" w:themeTint="BF"/>
        </w:rPr>
        <w:t xml:space="preserve"> provádění a snižov</w:t>
      </w:r>
      <w:r>
        <w:rPr>
          <w:rFonts w:cstheme="minorHAnsi"/>
          <w:color w:val="404040" w:themeColor="text1" w:themeTint="BF"/>
        </w:rPr>
        <w:t>ání</w:t>
      </w:r>
      <w:r w:rsidRPr="00AD775B">
        <w:rPr>
          <w:rFonts w:cstheme="minorHAnsi"/>
          <w:color w:val="404040" w:themeColor="text1" w:themeTint="BF"/>
        </w:rPr>
        <w:t xml:space="preserve"> zátěž</w:t>
      </w:r>
      <w:r>
        <w:rPr>
          <w:rFonts w:cstheme="minorHAnsi"/>
          <w:color w:val="404040" w:themeColor="text1" w:themeTint="BF"/>
        </w:rPr>
        <w:t>e</w:t>
      </w:r>
      <w:r w:rsidRPr="00AD775B">
        <w:rPr>
          <w:rFonts w:cstheme="minorHAnsi"/>
          <w:color w:val="404040" w:themeColor="text1" w:themeTint="BF"/>
        </w:rPr>
        <w:t xml:space="preserve"> námořní správy a </w:t>
      </w:r>
      <w:r>
        <w:rPr>
          <w:rFonts w:cstheme="minorHAnsi"/>
          <w:color w:val="404040" w:themeColor="text1" w:themeTint="BF"/>
        </w:rPr>
        <w:t>lodních dopravců.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AD775B">
        <w:rPr>
          <w:rFonts w:cstheme="minorHAnsi"/>
          <w:color w:val="404040" w:themeColor="text1" w:themeTint="BF"/>
        </w:rPr>
        <w:t xml:space="preserve">Zatímco bezpečnost </w:t>
      </w:r>
      <w:r>
        <w:rPr>
          <w:rFonts w:cstheme="minorHAnsi"/>
          <w:color w:val="404040" w:themeColor="text1" w:themeTint="BF"/>
        </w:rPr>
        <w:t xml:space="preserve">námořní dopravy </w:t>
      </w:r>
      <w:r w:rsidRPr="00AD775B">
        <w:rPr>
          <w:rFonts w:cstheme="minorHAnsi"/>
          <w:color w:val="404040" w:themeColor="text1" w:themeTint="BF"/>
        </w:rPr>
        <w:t xml:space="preserve">je zásadní, související regulační rámec by měl podporovat podmínky, za nichž může námořní průmysl prosperovat a zůstat konkurenceschopný. To zahrnuje integraci nových přístupů a technologií. Takový proaktivní přístup k bezpečnosti, ochraně a předcházení znečištění by podpořil konkurenceschopnost odvětví bez ztráty důrazu na prosazování a kvalitu lodní dopravy. Spolu se </w:t>
      </w:r>
      <w:r w:rsidRPr="00AD775B">
        <w:rPr>
          <w:rFonts w:cstheme="minorHAnsi"/>
          <w:color w:val="404040" w:themeColor="text1" w:themeTint="BF"/>
        </w:rPr>
        <w:lastRenderedPageBreak/>
        <w:t xml:space="preserve">zjednodušením ohlašovacích formalit má tento potenciál dosáhnout bezpečného a udržitelného evropského prostoru námořní dopravy bez </w:t>
      </w:r>
      <w:r>
        <w:rPr>
          <w:rFonts w:cstheme="minorHAnsi"/>
          <w:color w:val="404040" w:themeColor="text1" w:themeTint="BF"/>
        </w:rPr>
        <w:t>bariér</w:t>
      </w:r>
      <w:r w:rsidRPr="00AD775B">
        <w:rPr>
          <w:rFonts w:cstheme="minorHAnsi"/>
          <w:color w:val="404040" w:themeColor="text1" w:themeTint="BF"/>
        </w:rPr>
        <w:t>.</w:t>
      </w:r>
    </w:p>
    <w:p w:rsidR="005942E7" w:rsidRDefault="005942E7" w:rsidP="005942E7">
      <w:r>
        <w:br w:type="page"/>
      </w: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8" w:name="_Ref515184596"/>
      <w:r w:rsidRPr="00202254">
        <w:rPr>
          <w:rFonts w:ascii="Calibri" w:hAnsi="Calibri" w:cs="Calibri"/>
          <w:b/>
          <w:color w:val="404040" w:themeColor="text1" w:themeTint="BF"/>
        </w:rPr>
        <w:lastRenderedPageBreak/>
        <w:t>Elektronická dokumentace pro dopravu</w:t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  <w:bookmarkEnd w:id="8"/>
    </w:p>
    <w:p w:rsidR="005942E7" w:rsidRPr="00B82BFF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102" w:history="1">
        <w:r w:rsidR="005942E7" w:rsidRPr="00B82BFF">
          <w:rPr>
            <w:rStyle w:val="Hypertextovodkaz"/>
            <w:b/>
            <w:color w:val="4040FF" w:themeColor="hyperlink" w:themeTint="BF"/>
            <w:sz w:val="20"/>
          </w:rPr>
          <w:t>Návrh nařízení o elektronickém předávání informací v nákladní dopravě</w:t>
        </w:r>
      </w:hyperlink>
    </w:p>
    <w:p w:rsidR="005942E7" w:rsidRPr="00B82BFF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103" w:history="1">
        <w:r w:rsidR="005942E7" w:rsidRPr="00B82BFF">
          <w:rPr>
            <w:rStyle w:val="Hypertextovodkaz"/>
            <w:rFonts w:ascii="Calibri" w:hAnsi="Calibri" w:cs="Calibri"/>
            <w:color w:val="4040FF" w:themeColor="hyperlink" w:themeTint="BF"/>
            <w:sz w:val="20"/>
          </w:rPr>
          <w:t>Přílohy</w:t>
        </w:r>
      </w:hyperlink>
    </w:p>
    <w:p w:rsidR="005942E7" w:rsidRPr="00B82BFF" w:rsidRDefault="005942E7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r w:rsidRPr="00B82BFF">
        <w:rPr>
          <w:rFonts w:ascii="Calibri" w:hAnsi="Calibri" w:cs="Calibri"/>
          <w:color w:val="404040" w:themeColor="text1" w:themeTint="BF"/>
          <w:sz w:val="20"/>
        </w:rPr>
        <w:t xml:space="preserve">Posouzení dopadů – </w:t>
      </w:r>
      <w:hyperlink r:id="rId104" w:history="1">
        <w:r w:rsidRPr="00B82BFF">
          <w:rPr>
            <w:rStyle w:val="Hypertextovodkaz"/>
            <w:rFonts w:ascii="Calibri" w:hAnsi="Calibri" w:cs="Calibri"/>
            <w:color w:val="4040FF" w:themeColor="hyperlink" w:themeTint="BF"/>
            <w:sz w:val="20"/>
          </w:rPr>
          <w:t>část I</w:t>
        </w:r>
      </w:hyperlink>
      <w:r w:rsidRPr="00B82BFF">
        <w:rPr>
          <w:rFonts w:ascii="Calibri" w:hAnsi="Calibri" w:cs="Calibri"/>
          <w:color w:val="404040" w:themeColor="text1" w:themeTint="BF"/>
          <w:sz w:val="20"/>
        </w:rPr>
        <w:t xml:space="preserve"> a </w:t>
      </w:r>
      <w:hyperlink r:id="rId105" w:history="1">
        <w:r w:rsidRPr="00B82BFF">
          <w:rPr>
            <w:rStyle w:val="Hypertextovodkaz"/>
            <w:rFonts w:ascii="Calibri" w:hAnsi="Calibri" w:cs="Calibri"/>
            <w:color w:val="4040FF" w:themeColor="hyperlink" w:themeTint="BF"/>
            <w:sz w:val="20"/>
          </w:rPr>
          <w:t>část II</w:t>
        </w:r>
      </w:hyperlink>
    </w:p>
    <w:p w:rsidR="005942E7" w:rsidRPr="00B82BFF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106" w:history="1">
        <w:r w:rsidR="005942E7" w:rsidRPr="00B82BFF">
          <w:rPr>
            <w:rStyle w:val="Hypertextovodkaz"/>
            <w:rFonts w:ascii="Calibri" w:hAnsi="Calibri" w:cs="Calibri"/>
            <w:color w:val="4040FF" w:themeColor="hyperlink" w:themeTint="BF"/>
            <w:sz w:val="20"/>
          </w:rPr>
          <w:t>Shrnutí posouzení dopadů</w:t>
        </w:r>
      </w:hyperlink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Objem nákladní dopravy vzrostl o téměř čtvrtinu za posledních 20 let a mezi roky 2015 až 2050 se dle odhadů dále zvýší o dalších 51 %. Kolem 99 % přeshraniční přepravy stále využívá v některé své fázi předávání informací v tištěné podobě. Digitalizace výměny informací má potenciál významně zvýšit efektivitu dopravě a tím přispět k bezproblémovému fungování jednotného trhu.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714A2D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714A2D">
        <w:rPr>
          <w:rFonts w:cstheme="minorHAnsi"/>
          <w:b/>
          <w:color w:val="404040" w:themeColor="text1" w:themeTint="BF"/>
          <w:u w:val="single"/>
        </w:rPr>
        <w:t>Hodnocení dopadů</w:t>
      </w:r>
    </w:p>
    <w:p w:rsidR="005942E7" w:rsidRDefault="005942E7" w:rsidP="00B6003D">
      <w:pPr>
        <w:pStyle w:val="Odstavecseseznamem"/>
        <w:numPr>
          <w:ilvl w:val="0"/>
          <w:numId w:val="36"/>
        </w:numPr>
        <w:spacing w:after="0"/>
        <w:jc w:val="both"/>
        <w:rPr>
          <w:rFonts w:cstheme="minorHAnsi"/>
          <w:color w:val="404040" w:themeColor="text1" w:themeTint="BF"/>
        </w:rPr>
      </w:pPr>
      <w:r w:rsidRPr="00F375A8">
        <w:rPr>
          <w:rFonts w:cstheme="minorHAnsi"/>
          <w:color w:val="404040" w:themeColor="text1" w:themeTint="BF"/>
        </w:rPr>
        <w:t>PO1 – Povinnost členských států plnit současné legislativní požadavky týkající se přijímání dopravních smluv a kontraktů v elektronické podobě s dobrovolnou harmonizací implementace.</w:t>
      </w:r>
    </w:p>
    <w:p w:rsidR="005942E7" w:rsidRDefault="005942E7" w:rsidP="00B6003D">
      <w:pPr>
        <w:pStyle w:val="Odstavecseseznamem"/>
        <w:numPr>
          <w:ilvl w:val="0"/>
          <w:numId w:val="36"/>
        </w:numPr>
        <w:spacing w:after="0"/>
        <w:jc w:val="both"/>
        <w:rPr>
          <w:rFonts w:cstheme="minorHAnsi"/>
          <w:color w:val="404040" w:themeColor="text1" w:themeTint="BF"/>
        </w:rPr>
      </w:pPr>
      <w:r w:rsidRPr="00F375A8">
        <w:rPr>
          <w:rFonts w:cstheme="minorHAnsi"/>
          <w:color w:val="404040" w:themeColor="text1" w:themeTint="BF"/>
        </w:rPr>
        <w:t>PO2 – Povinnost úřadů členských států přijímat dopravní smlouvy a kontrakty v elektronické podobě s minimální harmonizací implementace.</w:t>
      </w:r>
    </w:p>
    <w:p w:rsidR="005942E7" w:rsidRPr="00F375A8" w:rsidRDefault="005942E7" w:rsidP="00B6003D">
      <w:pPr>
        <w:pStyle w:val="Odstavecseseznamem"/>
        <w:numPr>
          <w:ilvl w:val="0"/>
          <w:numId w:val="36"/>
        </w:numPr>
        <w:spacing w:after="0"/>
        <w:jc w:val="both"/>
        <w:rPr>
          <w:rFonts w:cstheme="minorHAnsi"/>
          <w:color w:val="404040" w:themeColor="text1" w:themeTint="BF"/>
        </w:rPr>
      </w:pPr>
      <w:r w:rsidRPr="00F375A8">
        <w:rPr>
          <w:rFonts w:cstheme="minorHAnsi"/>
          <w:b/>
          <w:color w:val="404040" w:themeColor="text1" w:themeTint="BF"/>
        </w:rPr>
        <w:t>PO3 – Povinnost úřadů členských států přijímat legislativou žádané informace či dokumentaci o nákladní dopravě s částečnou harmonizací implementace.</w:t>
      </w:r>
    </w:p>
    <w:p w:rsidR="005942E7" w:rsidRPr="00F375A8" w:rsidRDefault="005942E7" w:rsidP="00B6003D">
      <w:pPr>
        <w:pStyle w:val="Odstavecseseznamem"/>
        <w:numPr>
          <w:ilvl w:val="0"/>
          <w:numId w:val="36"/>
        </w:numPr>
        <w:spacing w:after="0"/>
        <w:jc w:val="both"/>
        <w:rPr>
          <w:rFonts w:cstheme="minorHAnsi"/>
          <w:color w:val="404040" w:themeColor="text1" w:themeTint="BF"/>
        </w:rPr>
      </w:pPr>
      <w:r w:rsidRPr="00F375A8">
        <w:rPr>
          <w:rFonts w:cstheme="minorHAnsi"/>
          <w:color w:val="404040" w:themeColor="text1" w:themeTint="BF"/>
        </w:rPr>
        <w:t>PO4 – Povinnost úřadů členských států přijímat legislativou žádané informace či dokumentace o</w:t>
      </w:r>
      <w:r>
        <w:rPr>
          <w:rFonts w:cstheme="minorHAnsi"/>
          <w:color w:val="404040" w:themeColor="text1" w:themeTint="BF"/>
        </w:rPr>
        <w:t> </w:t>
      </w:r>
      <w:r w:rsidRPr="00F375A8">
        <w:rPr>
          <w:rFonts w:cstheme="minorHAnsi"/>
          <w:color w:val="404040" w:themeColor="text1" w:themeTint="BF"/>
        </w:rPr>
        <w:t>nákladní dopravě s plnou harmonizací implementace.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F375A8" w:rsidRDefault="005942E7" w:rsidP="00B6003D">
      <w:pPr>
        <w:pStyle w:val="Odstavecseseznamem"/>
        <w:numPr>
          <w:ilvl w:val="0"/>
          <w:numId w:val="36"/>
        </w:numPr>
        <w:spacing w:after="0"/>
        <w:jc w:val="both"/>
        <w:rPr>
          <w:rFonts w:cstheme="minorHAnsi"/>
          <w:color w:val="404040" w:themeColor="text1" w:themeTint="BF"/>
        </w:rPr>
      </w:pPr>
      <w:r w:rsidRPr="00F375A8">
        <w:rPr>
          <w:rFonts w:cstheme="minorHAnsi"/>
          <w:b/>
          <w:color w:val="404040" w:themeColor="text1" w:themeTint="BF"/>
        </w:rPr>
        <w:t>PO3 je upřednostňovanou variantou.</w:t>
      </w:r>
      <w:r w:rsidRPr="00F375A8">
        <w:rPr>
          <w:rFonts w:cstheme="minorHAnsi"/>
          <w:color w:val="404040" w:themeColor="text1" w:themeTint="BF"/>
        </w:rPr>
        <w:t xml:space="preserve"> </w:t>
      </w:r>
      <w:r w:rsidRPr="00F375A8">
        <w:rPr>
          <w:rFonts w:cstheme="minorHAnsi"/>
          <w:b/>
          <w:color w:val="404040" w:themeColor="text1" w:themeTint="BF"/>
        </w:rPr>
        <w:t>Přínosy PO3 jsou ve výši 20 – 27 mld. uspořených EUR</w:t>
      </w:r>
      <w:r w:rsidRPr="00F375A8">
        <w:rPr>
          <w:rFonts w:cstheme="minorHAnsi"/>
          <w:color w:val="404040" w:themeColor="text1" w:themeTint="BF"/>
        </w:rPr>
        <w:t xml:space="preserve"> v období 2018 – 2040 díky redukci administrativních nákladů, což je ekvivalentem 75 – 102 ušetřených hodin za rok. Silniční dopravci, z nichž je 99 % malých a střeních podniků, se budou na těchto úsporách podílet ze 60 %. Dále jsou předpokládány pozitivní environmentální dopady z důvodu poklesu podílu módu silniční přepravy. C02 emise klesnou o více než 1 300 tun v období 2018 – 2040. Náklady z dopravního přetížení ve stejném období by měly klesnout o 300 mil. EUR. Ušetří se 2 až 8 mld. listů papírů (cca 180 až 900 tis. stromů ročně).</w:t>
      </w:r>
    </w:p>
    <w:p w:rsidR="005942E7" w:rsidRPr="00F375A8" w:rsidRDefault="005942E7" w:rsidP="00B6003D">
      <w:pPr>
        <w:pStyle w:val="Odstavecseseznamem"/>
        <w:numPr>
          <w:ilvl w:val="0"/>
          <w:numId w:val="36"/>
        </w:numPr>
        <w:spacing w:after="0"/>
        <w:jc w:val="both"/>
        <w:rPr>
          <w:rFonts w:cstheme="minorHAnsi"/>
          <w:color w:val="404040" w:themeColor="text1" w:themeTint="BF"/>
        </w:rPr>
      </w:pPr>
      <w:r w:rsidRPr="00F375A8">
        <w:rPr>
          <w:rFonts w:cstheme="minorHAnsi"/>
          <w:b/>
          <w:color w:val="404040" w:themeColor="text1" w:themeTint="BF"/>
        </w:rPr>
        <w:t>Náklady PO3</w:t>
      </w:r>
      <w:r w:rsidRPr="00F375A8">
        <w:rPr>
          <w:rFonts w:cstheme="minorHAnsi"/>
          <w:color w:val="404040" w:themeColor="text1" w:themeTint="BF"/>
        </w:rPr>
        <w:t xml:space="preserve"> jsou způsobeny zejména nutnými investicemi. Náklady </w:t>
      </w:r>
      <w:r w:rsidRPr="00F375A8">
        <w:rPr>
          <w:rFonts w:cstheme="minorHAnsi"/>
          <w:b/>
          <w:color w:val="404040" w:themeColor="text1" w:themeTint="BF"/>
        </w:rPr>
        <w:t>pro veřejné orgány</w:t>
      </w:r>
      <w:r w:rsidRPr="00F375A8">
        <w:rPr>
          <w:rFonts w:cstheme="minorHAnsi"/>
          <w:color w:val="404040" w:themeColor="text1" w:themeTint="BF"/>
        </w:rPr>
        <w:t xml:space="preserve"> jsou odhadovány na </w:t>
      </w:r>
      <w:r w:rsidRPr="00F375A8">
        <w:rPr>
          <w:rFonts w:cstheme="minorHAnsi"/>
          <w:b/>
          <w:color w:val="404040" w:themeColor="text1" w:themeTint="BF"/>
        </w:rPr>
        <w:t>268 mil. EUR</w:t>
      </w:r>
      <w:r w:rsidRPr="00F375A8">
        <w:rPr>
          <w:rFonts w:cstheme="minorHAnsi"/>
          <w:color w:val="404040" w:themeColor="text1" w:themeTint="BF"/>
        </w:rPr>
        <w:t xml:space="preserve">. Pro </w:t>
      </w:r>
      <w:r w:rsidRPr="00F375A8">
        <w:rPr>
          <w:rFonts w:cstheme="minorHAnsi"/>
          <w:b/>
          <w:color w:val="404040" w:themeColor="text1" w:themeTint="BF"/>
        </w:rPr>
        <w:t>byznys</w:t>
      </w:r>
      <w:r w:rsidRPr="00F375A8">
        <w:rPr>
          <w:rFonts w:cstheme="minorHAnsi"/>
          <w:color w:val="404040" w:themeColor="text1" w:themeTint="BF"/>
        </w:rPr>
        <w:t xml:space="preserve"> jsou náklady na IT systémy apod. odhadnuty na </w:t>
      </w:r>
      <w:r w:rsidRPr="00F375A8">
        <w:rPr>
          <w:rFonts w:cstheme="minorHAnsi"/>
          <w:b/>
          <w:color w:val="404040" w:themeColor="text1" w:themeTint="BF"/>
        </w:rPr>
        <w:t>4,4 mld. EUR</w:t>
      </w:r>
      <w:r w:rsidRPr="00F375A8">
        <w:rPr>
          <w:rFonts w:cstheme="minorHAnsi"/>
          <w:color w:val="404040" w:themeColor="text1" w:themeTint="BF"/>
        </w:rPr>
        <w:t>. Mírně negativní budou dopady na zaměstnanost, protože část zaměstnanců po zavedení elektronizace bude zbytná. Mírně negativní dopady budou také na životní prostředí v oblasti vodní dopravy v důsledku jejího většího rozšíření (odpovídající 41 mil. EUR).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B220CD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B220CD">
        <w:rPr>
          <w:rFonts w:cstheme="minorHAnsi"/>
          <w:b/>
          <w:color w:val="404040" w:themeColor="text1" w:themeTint="BF"/>
          <w:u w:val="single"/>
        </w:rPr>
        <w:t>Nařízení</w:t>
      </w:r>
    </w:p>
    <w:p w:rsidR="005942E7" w:rsidRDefault="005942E7" w:rsidP="00B6003D">
      <w:pPr>
        <w:pStyle w:val="Odstavecseseznamem"/>
        <w:numPr>
          <w:ilvl w:val="0"/>
          <w:numId w:val="37"/>
        </w:numPr>
        <w:spacing w:after="0"/>
        <w:jc w:val="both"/>
        <w:rPr>
          <w:rFonts w:cstheme="minorHAnsi"/>
          <w:color w:val="404040" w:themeColor="text1" w:themeTint="BF"/>
        </w:rPr>
      </w:pPr>
      <w:r w:rsidRPr="00E251C8">
        <w:rPr>
          <w:rFonts w:cstheme="minorHAnsi"/>
          <w:color w:val="404040" w:themeColor="text1" w:themeTint="BF"/>
        </w:rPr>
        <w:t xml:space="preserve">Článek 1 </w:t>
      </w:r>
      <w:r w:rsidRPr="00E251C8">
        <w:rPr>
          <w:rFonts w:cstheme="minorHAnsi"/>
          <w:b/>
          <w:color w:val="404040" w:themeColor="text1" w:themeTint="BF"/>
        </w:rPr>
        <w:t>umožňuje Komisi změnit nezásadní části Přílohy I, kde jsou uvedeny regulatorní požadavky na rozsah</w:t>
      </w:r>
      <w:r w:rsidRPr="00E251C8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0"/>
          <w:numId w:val="37"/>
        </w:numPr>
        <w:spacing w:after="0"/>
        <w:jc w:val="both"/>
        <w:rPr>
          <w:rFonts w:cstheme="minorHAnsi"/>
          <w:color w:val="404040" w:themeColor="text1" w:themeTint="BF"/>
        </w:rPr>
      </w:pPr>
      <w:r w:rsidRPr="00E251C8">
        <w:rPr>
          <w:rFonts w:cstheme="minorHAnsi"/>
          <w:color w:val="404040" w:themeColor="text1" w:themeTint="BF"/>
        </w:rPr>
        <w:t>Článek 4</w:t>
      </w:r>
      <w:r w:rsidRPr="007D20B6">
        <w:rPr>
          <w:rFonts w:cstheme="minorHAnsi"/>
          <w:color w:val="404040" w:themeColor="text1" w:themeTint="BF"/>
        </w:rPr>
        <w:t xml:space="preserve"> stanovuje</w:t>
      </w:r>
      <w:r w:rsidRPr="00E251C8">
        <w:rPr>
          <w:rFonts w:cstheme="minorHAnsi"/>
          <w:b/>
          <w:color w:val="404040" w:themeColor="text1" w:themeTint="BF"/>
        </w:rPr>
        <w:t xml:space="preserve"> požadavky na elektronický formát</w:t>
      </w:r>
      <w:r w:rsidRPr="00E251C8">
        <w:rPr>
          <w:rFonts w:cstheme="minorHAnsi"/>
          <w:color w:val="404040" w:themeColor="text1" w:themeTint="BF"/>
        </w:rPr>
        <w:t xml:space="preserve"> pro předávání přepravních informací (eFTI), který by měl být dostupný dotčeným dopravcům.</w:t>
      </w:r>
    </w:p>
    <w:p w:rsidR="005942E7" w:rsidRDefault="005942E7" w:rsidP="00B6003D">
      <w:pPr>
        <w:pStyle w:val="Odstavecseseznamem"/>
        <w:numPr>
          <w:ilvl w:val="0"/>
          <w:numId w:val="37"/>
        </w:numPr>
        <w:spacing w:after="0"/>
        <w:jc w:val="both"/>
        <w:rPr>
          <w:rFonts w:cstheme="minorHAnsi"/>
          <w:color w:val="404040" w:themeColor="text1" w:themeTint="BF"/>
        </w:rPr>
      </w:pPr>
      <w:r w:rsidRPr="00E251C8">
        <w:rPr>
          <w:rFonts w:cstheme="minorHAnsi"/>
          <w:color w:val="404040" w:themeColor="text1" w:themeTint="BF"/>
        </w:rPr>
        <w:t xml:space="preserve">Článek 5 stanovuje </w:t>
      </w:r>
      <w:r w:rsidRPr="007D20B6">
        <w:rPr>
          <w:rFonts w:cstheme="minorHAnsi"/>
          <w:b/>
          <w:color w:val="404040" w:themeColor="text1" w:themeTint="BF"/>
        </w:rPr>
        <w:t>povinnost úřadů členských států přijímat regulatorní informace</w:t>
      </w:r>
      <w:r w:rsidRPr="00E251C8">
        <w:rPr>
          <w:rFonts w:cstheme="minorHAnsi"/>
          <w:color w:val="404040" w:themeColor="text1" w:themeTint="BF"/>
        </w:rPr>
        <w:t>, které příslušné hospodářské subjekty elektronicky poskytnou v souladu s článkem 4.</w:t>
      </w:r>
    </w:p>
    <w:p w:rsidR="005942E7" w:rsidRDefault="005942E7" w:rsidP="00B6003D">
      <w:pPr>
        <w:pStyle w:val="Odstavecseseznamem"/>
        <w:numPr>
          <w:ilvl w:val="0"/>
          <w:numId w:val="37"/>
        </w:numPr>
        <w:spacing w:after="0"/>
        <w:jc w:val="both"/>
        <w:rPr>
          <w:rFonts w:cstheme="minorHAnsi"/>
          <w:color w:val="404040" w:themeColor="text1" w:themeTint="BF"/>
        </w:rPr>
      </w:pPr>
      <w:r w:rsidRPr="00E251C8">
        <w:rPr>
          <w:rFonts w:cstheme="minorHAnsi"/>
          <w:color w:val="404040" w:themeColor="text1" w:themeTint="BF"/>
        </w:rPr>
        <w:t xml:space="preserve">Článek 7 stanoví povinnost </w:t>
      </w:r>
      <w:r w:rsidRPr="007D20B6">
        <w:rPr>
          <w:rFonts w:cstheme="minorHAnsi"/>
          <w:b/>
          <w:color w:val="404040" w:themeColor="text1" w:themeTint="BF"/>
        </w:rPr>
        <w:t>Komise přijmout prováděcí akty</w:t>
      </w:r>
      <w:r w:rsidRPr="00E251C8">
        <w:rPr>
          <w:rFonts w:cstheme="minorHAnsi"/>
          <w:color w:val="404040" w:themeColor="text1" w:themeTint="BF"/>
        </w:rPr>
        <w:t xml:space="preserve">, kterými se stanoví společný soubor údajů ve vztahu k regulačním požadavkům v oblasti působnosti tohoto nařízení a stanoví společné </w:t>
      </w:r>
      <w:r w:rsidRPr="00E251C8">
        <w:rPr>
          <w:rFonts w:cstheme="minorHAnsi"/>
          <w:color w:val="404040" w:themeColor="text1" w:themeTint="BF"/>
        </w:rPr>
        <w:lastRenderedPageBreak/>
        <w:t>postupy a pravidla pro přístup příslušných orgánů k regula</w:t>
      </w:r>
      <w:r>
        <w:rPr>
          <w:rFonts w:cstheme="minorHAnsi"/>
          <w:color w:val="404040" w:themeColor="text1" w:themeTint="BF"/>
        </w:rPr>
        <w:t>torním</w:t>
      </w:r>
      <w:r w:rsidRPr="00E251C8">
        <w:rPr>
          <w:rFonts w:cstheme="minorHAnsi"/>
          <w:color w:val="404040" w:themeColor="text1" w:themeTint="BF"/>
        </w:rPr>
        <w:t xml:space="preserve"> informacím poskytovaných elektronicky. Tím by mělo být zajištěno, aby orgány členských států jednotně prov</w:t>
      </w:r>
      <w:r>
        <w:rPr>
          <w:rFonts w:cstheme="minorHAnsi"/>
          <w:color w:val="404040" w:themeColor="text1" w:themeTint="BF"/>
        </w:rPr>
        <w:t>e</w:t>
      </w:r>
      <w:r w:rsidRPr="00E251C8">
        <w:rPr>
          <w:rFonts w:cstheme="minorHAnsi"/>
          <w:color w:val="404040" w:themeColor="text1" w:themeTint="BF"/>
        </w:rPr>
        <w:t xml:space="preserve">dly opatření, která </w:t>
      </w:r>
      <w:r>
        <w:rPr>
          <w:rFonts w:cstheme="minorHAnsi"/>
          <w:color w:val="404040" w:themeColor="text1" w:themeTint="BF"/>
        </w:rPr>
        <w:t>implementují</w:t>
      </w:r>
      <w:r w:rsidRPr="00E251C8">
        <w:rPr>
          <w:rFonts w:cstheme="minorHAnsi"/>
          <w:color w:val="404040" w:themeColor="text1" w:themeTint="BF"/>
        </w:rPr>
        <w:t xml:space="preserve"> povinnost přijmout </w:t>
      </w:r>
      <w:r>
        <w:rPr>
          <w:rFonts w:cstheme="minorHAnsi"/>
          <w:color w:val="404040" w:themeColor="text1" w:themeTint="BF"/>
        </w:rPr>
        <w:t>regulatorní</w:t>
      </w:r>
      <w:r w:rsidRPr="00E251C8">
        <w:rPr>
          <w:rFonts w:cstheme="minorHAnsi"/>
          <w:color w:val="404040" w:themeColor="text1" w:themeTint="BF"/>
        </w:rPr>
        <w:t xml:space="preserve"> informace poskytnuté elektronicky.</w:t>
      </w:r>
    </w:p>
    <w:p w:rsidR="005942E7" w:rsidRDefault="005942E7" w:rsidP="00B6003D">
      <w:pPr>
        <w:pStyle w:val="Odstavecseseznamem"/>
        <w:numPr>
          <w:ilvl w:val="0"/>
          <w:numId w:val="37"/>
        </w:numPr>
        <w:spacing w:after="0"/>
        <w:jc w:val="both"/>
        <w:rPr>
          <w:rFonts w:cstheme="minorHAnsi"/>
          <w:color w:val="404040" w:themeColor="text1" w:themeTint="BF"/>
        </w:rPr>
      </w:pPr>
      <w:r w:rsidRPr="007D20B6">
        <w:rPr>
          <w:rFonts w:cstheme="minorHAnsi"/>
          <w:color w:val="404040" w:themeColor="text1" w:themeTint="BF"/>
        </w:rPr>
        <w:t xml:space="preserve">Článek 8 stanoví </w:t>
      </w:r>
      <w:r w:rsidRPr="007D20B6">
        <w:rPr>
          <w:rFonts w:cstheme="minorHAnsi"/>
          <w:b/>
          <w:color w:val="404040" w:themeColor="text1" w:themeTint="BF"/>
        </w:rPr>
        <w:t>funkční požadavky platforem eFTI</w:t>
      </w:r>
      <w:r w:rsidRPr="007D20B6">
        <w:rPr>
          <w:rFonts w:cstheme="minorHAnsi"/>
          <w:color w:val="404040" w:themeColor="text1" w:themeTint="BF"/>
        </w:rPr>
        <w:t>, jejichž prostřednictvím mohou příslušné hospodářské subjekty poskytnout regula</w:t>
      </w:r>
      <w:r>
        <w:rPr>
          <w:rFonts w:cstheme="minorHAnsi"/>
          <w:color w:val="404040" w:themeColor="text1" w:themeTint="BF"/>
        </w:rPr>
        <w:t>torní</w:t>
      </w:r>
      <w:r w:rsidRPr="007D20B6">
        <w:rPr>
          <w:rFonts w:cstheme="minorHAnsi"/>
          <w:color w:val="404040" w:themeColor="text1" w:themeTint="BF"/>
        </w:rPr>
        <w:t xml:space="preserve"> informace, a zmocňuje Komisi, aby přijala prováděcí akty s podrobnými pravidly pro jejich </w:t>
      </w:r>
      <w:r>
        <w:rPr>
          <w:rFonts w:cstheme="minorHAnsi"/>
          <w:color w:val="404040" w:themeColor="text1" w:themeTint="BF"/>
        </w:rPr>
        <w:t>implementaci</w:t>
      </w:r>
      <w:r w:rsidRPr="007D20B6">
        <w:rPr>
          <w:rFonts w:cstheme="minorHAnsi"/>
          <w:color w:val="404040" w:themeColor="text1" w:themeTint="BF"/>
        </w:rPr>
        <w:t xml:space="preserve">. Cílem požadavků je zajistit, aby správa dat prostřednictvím těchto platforem mohla být prováděna způsobem, který zajistí základní aspekty, jako je dostupnost, pravost, celistvost, důvěrnost a bezpečnost dat. </w:t>
      </w:r>
      <w:r>
        <w:rPr>
          <w:rFonts w:cstheme="minorHAnsi"/>
          <w:color w:val="404040" w:themeColor="text1" w:themeTint="BF"/>
        </w:rPr>
        <w:t>Konkrétní</w:t>
      </w:r>
      <w:r w:rsidRPr="007D20B6">
        <w:rPr>
          <w:rFonts w:cstheme="minorHAnsi"/>
          <w:color w:val="404040" w:themeColor="text1" w:themeTint="BF"/>
        </w:rPr>
        <w:t xml:space="preserve"> pravidla </w:t>
      </w:r>
      <w:r>
        <w:rPr>
          <w:rFonts w:cstheme="minorHAnsi"/>
          <w:color w:val="404040" w:themeColor="text1" w:themeTint="BF"/>
        </w:rPr>
        <w:t>by měla být otevřena</w:t>
      </w:r>
      <w:r w:rsidRPr="007D20B6">
        <w:rPr>
          <w:rFonts w:cstheme="minorHAnsi"/>
          <w:color w:val="404040" w:themeColor="text1" w:themeTint="BF"/>
        </w:rPr>
        <w:t xml:space="preserve"> všem současným nebo budoucím technologiím, které by tyto funkcionality zajistily.</w:t>
      </w:r>
    </w:p>
    <w:p w:rsidR="005942E7" w:rsidRDefault="005942E7" w:rsidP="00B6003D">
      <w:pPr>
        <w:pStyle w:val="Odstavecseseznamem"/>
        <w:numPr>
          <w:ilvl w:val="0"/>
          <w:numId w:val="37"/>
        </w:numPr>
        <w:spacing w:after="0"/>
        <w:jc w:val="both"/>
        <w:rPr>
          <w:rFonts w:cstheme="minorHAnsi"/>
          <w:color w:val="404040" w:themeColor="text1" w:themeTint="BF"/>
        </w:rPr>
      </w:pPr>
      <w:r w:rsidRPr="007D20B6">
        <w:rPr>
          <w:rFonts w:cstheme="minorHAnsi"/>
          <w:color w:val="404040" w:themeColor="text1" w:themeTint="BF"/>
        </w:rPr>
        <w:t>Článek 15 požaduje, aby Komise provedla hodnocení provádění tohoto nařízení s cílem posoudit výkonnost tohoto nařízení v porovnání s cílem, který byl stanoven. Vyžaduje rovněž od členských států, aby Komisi pomáhaly shromažďovat potřebné informace pro přípravu hodnotící zprávy.</w:t>
      </w:r>
    </w:p>
    <w:p w:rsidR="005942E7" w:rsidRDefault="005942E7" w:rsidP="00B6003D">
      <w:pPr>
        <w:pStyle w:val="Odstavecseseznamem"/>
        <w:numPr>
          <w:ilvl w:val="0"/>
          <w:numId w:val="37"/>
        </w:numPr>
        <w:spacing w:after="0"/>
        <w:jc w:val="both"/>
        <w:rPr>
          <w:rFonts w:cstheme="minorHAnsi"/>
          <w:color w:val="404040" w:themeColor="text1" w:themeTint="BF"/>
        </w:rPr>
      </w:pPr>
      <w:r w:rsidRPr="007D20B6">
        <w:rPr>
          <w:rFonts w:cstheme="minorHAnsi"/>
          <w:color w:val="404040" w:themeColor="text1" w:themeTint="BF"/>
        </w:rPr>
        <w:t>Článek 16 stanoví povinnost členského státu poskytovat každé dva roky specifické informace zaměřené na sledování dopadu provádění tohoto nařízení.</w:t>
      </w:r>
    </w:p>
    <w:p w:rsidR="005942E7" w:rsidRPr="007D20B6" w:rsidRDefault="005942E7" w:rsidP="00B6003D">
      <w:pPr>
        <w:pStyle w:val="Odstavecseseznamem"/>
        <w:numPr>
          <w:ilvl w:val="0"/>
          <w:numId w:val="37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Článek 17 navrhuje </w:t>
      </w:r>
      <w:r w:rsidRPr="007D20B6">
        <w:rPr>
          <w:rFonts w:cstheme="minorHAnsi"/>
          <w:b/>
          <w:color w:val="404040" w:themeColor="text1" w:themeTint="BF"/>
        </w:rPr>
        <w:t xml:space="preserve">účinnost nařízení po 4 letech </w:t>
      </w:r>
      <w:r w:rsidR="00E42E57">
        <w:rPr>
          <w:rFonts w:cstheme="minorHAnsi"/>
          <w:b/>
          <w:color w:val="404040" w:themeColor="text1" w:themeTint="BF"/>
        </w:rPr>
        <w:t>od</w:t>
      </w:r>
      <w:r w:rsidRPr="007D20B6">
        <w:rPr>
          <w:rFonts w:cstheme="minorHAnsi"/>
          <w:b/>
          <w:color w:val="404040" w:themeColor="text1" w:themeTint="BF"/>
        </w:rPr>
        <w:t xml:space="preserve"> dat</w:t>
      </w:r>
      <w:r w:rsidR="00E42E57">
        <w:rPr>
          <w:rFonts w:cstheme="minorHAnsi"/>
          <w:b/>
          <w:color w:val="404040" w:themeColor="text1" w:themeTint="BF"/>
        </w:rPr>
        <w:t>a</w:t>
      </w:r>
      <w:r w:rsidRPr="007D20B6">
        <w:rPr>
          <w:rFonts w:cstheme="minorHAnsi"/>
          <w:b/>
          <w:color w:val="404040" w:themeColor="text1" w:themeTint="BF"/>
        </w:rPr>
        <w:t xml:space="preserve"> platnosti</w:t>
      </w:r>
      <w:r>
        <w:rPr>
          <w:rFonts w:cstheme="minorHAnsi"/>
          <w:color w:val="404040" w:themeColor="text1" w:themeTint="BF"/>
        </w:rPr>
        <w:t>.</w:t>
      </w:r>
    </w:p>
    <w:p w:rsidR="005942E7" w:rsidRDefault="005942E7" w:rsidP="005942E7">
      <w:r>
        <w:br w:type="page"/>
      </w: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9" w:name="_Ref515184609"/>
      <w:r w:rsidRPr="00202254">
        <w:rPr>
          <w:b/>
          <w:color w:val="404040" w:themeColor="text1" w:themeTint="BF"/>
        </w:rPr>
        <w:lastRenderedPageBreak/>
        <w:t>Zjednodušující opatření pro komunikace TEN-T ("inteligentní TEN-T")</w:t>
      </w:r>
      <w:r w:rsidR="00315741">
        <w:rPr>
          <w:b/>
          <w:color w:val="404040" w:themeColor="text1" w:themeTint="BF"/>
        </w:rPr>
        <w:tab/>
      </w:r>
      <w:r w:rsidR="00315741">
        <w:rPr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  <w:bookmarkEnd w:id="9"/>
    </w:p>
    <w:p w:rsidR="005942E7" w:rsidRPr="006E548D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107" w:history="1">
        <w:r w:rsidR="005942E7" w:rsidRPr="006E548D">
          <w:rPr>
            <w:rStyle w:val="Hypertextovodkaz"/>
            <w:b/>
            <w:color w:val="4040FF" w:themeColor="hyperlink" w:themeTint="BF"/>
            <w:sz w:val="20"/>
          </w:rPr>
          <w:t>Návrh nařízení o zjednodušujících opatřeních na podporu realizace transevropské dopravní sítě ("inteligentní TEN-T")</w:t>
        </w:r>
      </w:hyperlink>
    </w:p>
    <w:p w:rsidR="005942E7" w:rsidRPr="006E548D" w:rsidRDefault="005942E7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r w:rsidRPr="006E548D">
        <w:rPr>
          <w:rFonts w:ascii="Calibri" w:hAnsi="Calibri" w:cs="Calibri"/>
          <w:color w:val="404040" w:themeColor="text1" w:themeTint="BF"/>
          <w:sz w:val="20"/>
        </w:rPr>
        <w:t xml:space="preserve">Posouzení dopadů – </w:t>
      </w:r>
      <w:hyperlink r:id="rId108" w:history="1">
        <w:r w:rsidRPr="006E548D">
          <w:rPr>
            <w:rStyle w:val="Hypertextovodkaz"/>
            <w:rFonts w:ascii="Calibri" w:hAnsi="Calibri" w:cs="Calibri"/>
            <w:sz w:val="20"/>
          </w:rPr>
          <w:t>část I</w:t>
        </w:r>
      </w:hyperlink>
      <w:r w:rsidRPr="006E548D">
        <w:rPr>
          <w:rFonts w:ascii="Calibri" w:hAnsi="Calibri" w:cs="Calibri"/>
          <w:color w:val="404040" w:themeColor="text1" w:themeTint="BF"/>
          <w:sz w:val="20"/>
        </w:rPr>
        <w:t xml:space="preserve"> a </w:t>
      </w:r>
      <w:hyperlink r:id="rId109" w:history="1">
        <w:r w:rsidRPr="006E548D">
          <w:rPr>
            <w:rStyle w:val="Hypertextovodkaz"/>
            <w:rFonts w:ascii="Calibri" w:hAnsi="Calibri" w:cs="Calibri"/>
            <w:sz w:val="20"/>
          </w:rPr>
          <w:t>část II</w:t>
        </w:r>
      </w:hyperlink>
    </w:p>
    <w:p w:rsidR="005942E7" w:rsidRPr="006E548D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110" w:history="1">
        <w:r w:rsidR="005942E7" w:rsidRPr="006E548D">
          <w:rPr>
            <w:rStyle w:val="Hypertextovodkaz"/>
            <w:rFonts w:ascii="Calibri" w:hAnsi="Calibri" w:cs="Calibri"/>
            <w:sz w:val="20"/>
          </w:rPr>
          <w:t>Shrnutí posouzení dopadů</w:t>
        </w:r>
      </w:hyperlink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DC5371">
        <w:rPr>
          <w:rFonts w:cstheme="minorHAnsi"/>
          <w:color w:val="404040" w:themeColor="text1" w:themeTint="BF"/>
        </w:rPr>
        <w:t xml:space="preserve">Investice do dopravní infrastruktury významně přispívají k </w:t>
      </w:r>
      <w:r>
        <w:rPr>
          <w:rFonts w:cstheme="minorHAnsi"/>
          <w:color w:val="404040" w:themeColor="text1" w:themeTint="BF"/>
        </w:rPr>
        <w:t>hospodářské stimulaci a nastartování investic</w:t>
      </w:r>
      <w:r w:rsidRPr="00DC5371">
        <w:rPr>
          <w:rFonts w:cstheme="minorHAnsi"/>
          <w:color w:val="404040" w:themeColor="text1" w:themeTint="BF"/>
        </w:rPr>
        <w:t xml:space="preserve">. </w:t>
      </w:r>
      <w:r>
        <w:rPr>
          <w:rFonts w:cstheme="minorHAnsi"/>
          <w:color w:val="404040" w:themeColor="text1" w:themeTint="BF"/>
        </w:rPr>
        <w:t>D</w:t>
      </w:r>
      <w:r w:rsidRPr="00DC5371">
        <w:rPr>
          <w:rFonts w:cstheme="minorHAnsi"/>
          <w:color w:val="404040" w:themeColor="text1" w:themeTint="BF"/>
        </w:rPr>
        <w:t xml:space="preserve">okončení </w:t>
      </w:r>
      <w:r>
        <w:rPr>
          <w:rFonts w:cstheme="minorHAnsi"/>
          <w:color w:val="404040" w:themeColor="text1" w:themeTint="BF"/>
        </w:rPr>
        <w:t xml:space="preserve">sítě </w:t>
      </w:r>
      <w:r w:rsidRPr="00DC5371">
        <w:rPr>
          <w:rFonts w:cstheme="minorHAnsi"/>
          <w:color w:val="404040" w:themeColor="text1" w:themeTint="BF"/>
        </w:rPr>
        <w:t>TEN-T a jejích koridorů vytvoří dalších 4,5 m</w:t>
      </w:r>
      <w:r>
        <w:rPr>
          <w:rFonts w:cstheme="minorHAnsi"/>
          <w:color w:val="404040" w:themeColor="text1" w:themeTint="BF"/>
        </w:rPr>
        <w:t>ld.</w:t>
      </w:r>
      <w:r w:rsidRPr="00DC5371">
        <w:rPr>
          <w:rFonts w:cstheme="minorHAnsi"/>
          <w:color w:val="404040" w:themeColor="text1" w:themeTint="BF"/>
        </w:rPr>
        <w:t xml:space="preserve"> EUR nebo 1,8</w:t>
      </w:r>
      <w:r>
        <w:rPr>
          <w:rFonts w:cstheme="minorHAnsi"/>
          <w:color w:val="404040" w:themeColor="text1" w:themeTint="BF"/>
        </w:rPr>
        <w:t xml:space="preserve"> </w:t>
      </w:r>
      <w:r w:rsidRPr="00DC5371">
        <w:rPr>
          <w:rFonts w:cstheme="minorHAnsi"/>
          <w:color w:val="404040" w:themeColor="text1" w:themeTint="BF"/>
        </w:rPr>
        <w:t>% HDP EU</w:t>
      </w:r>
      <w:r>
        <w:rPr>
          <w:rFonts w:cstheme="minorHAnsi"/>
          <w:color w:val="404040" w:themeColor="text1" w:themeTint="BF"/>
        </w:rPr>
        <w:t xml:space="preserve"> do rok</w:t>
      </w:r>
      <w:r w:rsidRPr="00DC5371">
        <w:rPr>
          <w:rFonts w:cstheme="minorHAnsi"/>
          <w:color w:val="404040" w:themeColor="text1" w:themeTint="BF"/>
        </w:rPr>
        <w:t xml:space="preserve">u 2030. </w:t>
      </w:r>
      <w:r>
        <w:rPr>
          <w:rFonts w:cstheme="minorHAnsi"/>
          <w:color w:val="404040" w:themeColor="text1" w:themeTint="BF"/>
        </w:rPr>
        <w:t>O</w:t>
      </w:r>
      <w:r w:rsidRPr="00DC5371">
        <w:rPr>
          <w:rFonts w:cstheme="minorHAnsi"/>
          <w:color w:val="404040" w:themeColor="text1" w:themeTint="BF"/>
        </w:rPr>
        <w:t>dhaduje</w:t>
      </w:r>
      <w:r>
        <w:rPr>
          <w:rFonts w:cstheme="minorHAnsi"/>
          <w:color w:val="404040" w:themeColor="text1" w:themeTint="BF"/>
        </w:rPr>
        <w:t xml:space="preserve"> se</w:t>
      </w:r>
      <w:r w:rsidRPr="00DC5371">
        <w:rPr>
          <w:rFonts w:cstheme="minorHAnsi"/>
          <w:color w:val="404040" w:themeColor="text1" w:themeTint="BF"/>
        </w:rPr>
        <w:t xml:space="preserve">, že investice potřebné pro dokončení </w:t>
      </w:r>
      <w:r>
        <w:rPr>
          <w:rFonts w:cstheme="minorHAnsi"/>
          <w:color w:val="404040" w:themeColor="text1" w:themeTint="BF"/>
        </w:rPr>
        <w:t>hlavní části</w:t>
      </w:r>
      <w:r w:rsidRPr="00DC5371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sítě </w:t>
      </w:r>
      <w:r w:rsidRPr="00DC5371">
        <w:rPr>
          <w:rFonts w:cstheme="minorHAnsi"/>
          <w:color w:val="404040" w:themeColor="text1" w:themeTint="BF"/>
        </w:rPr>
        <w:t xml:space="preserve">TEN-T </w:t>
      </w:r>
      <w:r>
        <w:rPr>
          <w:rFonts w:cstheme="minorHAnsi"/>
          <w:color w:val="404040" w:themeColor="text1" w:themeTint="BF"/>
        </w:rPr>
        <w:t>jsou pro roky</w:t>
      </w:r>
      <w:r w:rsidRPr="00DC5371">
        <w:rPr>
          <w:rFonts w:cstheme="minorHAnsi"/>
          <w:color w:val="404040" w:themeColor="text1" w:themeTint="BF"/>
        </w:rPr>
        <w:t xml:space="preserve"> 2021 až 2030 </w:t>
      </w:r>
      <w:r>
        <w:rPr>
          <w:rFonts w:cstheme="minorHAnsi"/>
          <w:color w:val="404040" w:themeColor="text1" w:themeTint="BF"/>
        </w:rPr>
        <w:t xml:space="preserve">ve výši </w:t>
      </w:r>
      <w:r w:rsidRPr="00DC5371">
        <w:rPr>
          <w:rFonts w:cstheme="minorHAnsi"/>
          <w:color w:val="404040" w:themeColor="text1" w:themeTint="BF"/>
        </w:rPr>
        <w:t>přibližně 500 mld</w:t>
      </w:r>
      <w:r>
        <w:rPr>
          <w:rFonts w:cstheme="minorHAnsi"/>
          <w:color w:val="404040" w:themeColor="text1" w:themeTint="BF"/>
        </w:rPr>
        <w:t>.</w:t>
      </w:r>
      <w:r w:rsidRPr="00DC5371">
        <w:rPr>
          <w:rFonts w:cstheme="minorHAnsi"/>
          <w:color w:val="404040" w:themeColor="text1" w:themeTint="BF"/>
        </w:rPr>
        <w:t xml:space="preserve"> EUR a </w:t>
      </w:r>
      <w:r>
        <w:rPr>
          <w:rFonts w:cstheme="minorHAnsi"/>
          <w:color w:val="404040" w:themeColor="text1" w:themeTint="BF"/>
        </w:rPr>
        <w:t>cca</w:t>
      </w:r>
      <w:r w:rsidRPr="00DC5371">
        <w:rPr>
          <w:rFonts w:cstheme="minorHAnsi"/>
          <w:color w:val="404040" w:themeColor="text1" w:themeTint="BF"/>
        </w:rPr>
        <w:t xml:space="preserve"> 1 500 mld</w:t>
      </w:r>
      <w:r>
        <w:rPr>
          <w:rFonts w:cstheme="minorHAnsi"/>
          <w:color w:val="404040" w:themeColor="text1" w:themeTint="BF"/>
        </w:rPr>
        <w:t>.</w:t>
      </w:r>
      <w:r w:rsidRPr="00DC5371">
        <w:rPr>
          <w:rFonts w:cstheme="minorHAnsi"/>
          <w:color w:val="404040" w:themeColor="text1" w:themeTint="BF"/>
        </w:rPr>
        <w:t xml:space="preserve"> EUR </w:t>
      </w:r>
      <w:r>
        <w:rPr>
          <w:rFonts w:cstheme="minorHAnsi"/>
          <w:color w:val="404040" w:themeColor="text1" w:themeTint="BF"/>
        </w:rPr>
        <w:t xml:space="preserve">při zahrnutí </w:t>
      </w:r>
      <w:r w:rsidRPr="00DC5371">
        <w:rPr>
          <w:rFonts w:cstheme="minorHAnsi"/>
          <w:color w:val="404040" w:themeColor="text1" w:themeTint="BF"/>
        </w:rPr>
        <w:t>komplexní sít</w:t>
      </w:r>
      <w:r>
        <w:rPr>
          <w:rFonts w:cstheme="minorHAnsi"/>
          <w:color w:val="404040" w:themeColor="text1" w:themeTint="BF"/>
        </w:rPr>
        <w:t>ě</w:t>
      </w:r>
      <w:r w:rsidRPr="00DC5371">
        <w:rPr>
          <w:rFonts w:cstheme="minorHAnsi"/>
          <w:color w:val="404040" w:themeColor="text1" w:themeTint="BF"/>
        </w:rPr>
        <w:t xml:space="preserve"> TEN-T a další</w:t>
      </w:r>
      <w:r>
        <w:rPr>
          <w:rFonts w:cstheme="minorHAnsi"/>
          <w:color w:val="404040" w:themeColor="text1" w:themeTint="BF"/>
        </w:rPr>
        <w:t>ch</w:t>
      </w:r>
      <w:r w:rsidRPr="00DC5371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dopravních </w:t>
      </w:r>
      <w:r w:rsidRPr="00DC5371">
        <w:rPr>
          <w:rFonts w:cstheme="minorHAnsi"/>
          <w:color w:val="404040" w:themeColor="text1" w:themeTint="BF"/>
        </w:rPr>
        <w:t>investic</w:t>
      </w:r>
      <w:r>
        <w:rPr>
          <w:rFonts w:cstheme="minorHAnsi"/>
          <w:color w:val="404040" w:themeColor="text1" w:themeTint="BF"/>
        </w:rPr>
        <w:t>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R</w:t>
      </w:r>
      <w:r w:rsidRPr="002D6132">
        <w:rPr>
          <w:rFonts w:cstheme="minorHAnsi"/>
          <w:b/>
          <w:color w:val="404040" w:themeColor="text1" w:themeTint="BF"/>
        </w:rPr>
        <w:t>ealizace</w:t>
      </w:r>
      <w:r w:rsidRPr="00FA742D">
        <w:rPr>
          <w:rFonts w:cstheme="minorHAnsi"/>
          <w:color w:val="404040" w:themeColor="text1" w:themeTint="BF"/>
        </w:rPr>
        <w:t xml:space="preserve"> projektů hlavní </w:t>
      </w:r>
      <w:r>
        <w:rPr>
          <w:rFonts w:cstheme="minorHAnsi"/>
          <w:color w:val="404040" w:themeColor="text1" w:themeTint="BF"/>
        </w:rPr>
        <w:t xml:space="preserve">části </w:t>
      </w:r>
      <w:r w:rsidRPr="00FA742D">
        <w:rPr>
          <w:rFonts w:cstheme="minorHAnsi"/>
          <w:color w:val="404040" w:themeColor="text1" w:themeTint="BF"/>
        </w:rPr>
        <w:t xml:space="preserve">sítě TEN-T je </w:t>
      </w:r>
      <w:r w:rsidRPr="002D6132">
        <w:rPr>
          <w:rFonts w:cstheme="minorHAnsi"/>
          <w:b/>
          <w:color w:val="404040" w:themeColor="text1" w:themeTint="BF"/>
        </w:rPr>
        <w:t>ovlivněna složitými administrativními postupy a regulační nejistotou</w:t>
      </w:r>
      <w:r w:rsidRPr="00FA742D">
        <w:rPr>
          <w:rFonts w:cstheme="minorHAnsi"/>
          <w:color w:val="404040" w:themeColor="text1" w:themeTint="BF"/>
        </w:rPr>
        <w:t xml:space="preserve">, což </w:t>
      </w:r>
      <w:r>
        <w:rPr>
          <w:rFonts w:cstheme="minorHAnsi"/>
          <w:color w:val="404040" w:themeColor="text1" w:themeTint="BF"/>
        </w:rPr>
        <w:t>vyvolává</w:t>
      </w:r>
      <w:r w:rsidRPr="00FA742D">
        <w:rPr>
          <w:rFonts w:cstheme="minorHAnsi"/>
          <w:color w:val="404040" w:themeColor="text1" w:themeTint="BF"/>
        </w:rPr>
        <w:t xml:space="preserve"> </w:t>
      </w:r>
      <w:r w:rsidR="00847D58">
        <w:rPr>
          <w:rFonts w:cstheme="minorHAnsi"/>
          <w:color w:val="404040" w:themeColor="text1" w:themeTint="BF"/>
        </w:rPr>
        <w:t xml:space="preserve">další </w:t>
      </w:r>
      <w:r w:rsidRPr="00FA742D">
        <w:rPr>
          <w:rFonts w:cstheme="minorHAnsi"/>
          <w:color w:val="404040" w:themeColor="text1" w:themeTint="BF"/>
        </w:rPr>
        <w:t>náklad</w:t>
      </w:r>
      <w:r>
        <w:rPr>
          <w:rFonts w:cstheme="minorHAnsi"/>
          <w:color w:val="404040" w:themeColor="text1" w:themeTint="BF"/>
        </w:rPr>
        <w:t>y</w:t>
      </w:r>
      <w:r w:rsidRPr="00FA742D">
        <w:rPr>
          <w:rFonts w:cstheme="minorHAnsi"/>
          <w:color w:val="404040" w:themeColor="text1" w:themeTint="BF"/>
        </w:rPr>
        <w:t xml:space="preserve"> a zpoždění.</w:t>
      </w:r>
      <w:r>
        <w:rPr>
          <w:rFonts w:cstheme="minorHAnsi"/>
          <w:color w:val="404040" w:themeColor="text1" w:themeTint="BF"/>
        </w:rPr>
        <w:t xml:space="preserve"> Z</w:t>
      </w:r>
      <w:r w:rsidRPr="00FA742D">
        <w:rPr>
          <w:rFonts w:cstheme="minorHAnsi"/>
          <w:color w:val="404040" w:themeColor="text1" w:themeTint="BF"/>
        </w:rPr>
        <w:t xml:space="preserve">jednodušení správních povolení, </w:t>
      </w:r>
      <w:r>
        <w:rPr>
          <w:rFonts w:cstheme="minorHAnsi"/>
          <w:color w:val="404040" w:themeColor="text1" w:themeTint="BF"/>
        </w:rPr>
        <w:t xml:space="preserve">pravidel pro udělování stavebních </w:t>
      </w:r>
      <w:r w:rsidRPr="00FA742D">
        <w:rPr>
          <w:rFonts w:cstheme="minorHAnsi"/>
          <w:color w:val="404040" w:themeColor="text1" w:themeTint="BF"/>
        </w:rPr>
        <w:t>povolení a jiných regulačních postupů j</w:t>
      </w:r>
      <w:r>
        <w:rPr>
          <w:rFonts w:cstheme="minorHAnsi"/>
          <w:color w:val="404040" w:themeColor="text1" w:themeTint="BF"/>
        </w:rPr>
        <w:t xml:space="preserve">sou doporučeními pro </w:t>
      </w:r>
      <w:r w:rsidRPr="00FA742D">
        <w:rPr>
          <w:rFonts w:cstheme="minorHAnsi"/>
          <w:color w:val="404040" w:themeColor="text1" w:themeTint="BF"/>
        </w:rPr>
        <w:t>usnadnění</w:t>
      </w:r>
      <w:r>
        <w:rPr>
          <w:rFonts w:cstheme="minorHAnsi"/>
          <w:color w:val="404040" w:themeColor="text1" w:themeTint="BF"/>
        </w:rPr>
        <w:t xml:space="preserve"> dokončení</w:t>
      </w:r>
      <w:r w:rsidRPr="00FA742D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TEN-T, </w:t>
      </w:r>
      <w:r w:rsidR="00847D58">
        <w:rPr>
          <w:rFonts w:cstheme="minorHAnsi"/>
          <w:color w:val="404040" w:themeColor="text1" w:themeTint="BF"/>
        </w:rPr>
        <w:t>jež</w:t>
      </w:r>
      <w:r>
        <w:rPr>
          <w:rFonts w:cstheme="minorHAnsi"/>
          <w:color w:val="404040" w:themeColor="text1" w:themeTint="BF"/>
        </w:rPr>
        <w:t xml:space="preserve"> </w:t>
      </w:r>
      <w:r w:rsidRPr="00FA742D">
        <w:rPr>
          <w:rFonts w:cstheme="minorHAnsi"/>
          <w:color w:val="404040" w:themeColor="text1" w:themeTint="BF"/>
        </w:rPr>
        <w:t>je nezbytné pro fungování jednotného trhu, digitalizaci dopravy a</w:t>
      </w:r>
      <w:r>
        <w:rPr>
          <w:rFonts w:cstheme="minorHAnsi"/>
          <w:color w:val="404040" w:themeColor="text1" w:themeTint="BF"/>
        </w:rPr>
        <w:t> </w:t>
      </w:r>
      <w:r w:rsidRPr="00FA742D">
        <w:rPr>
          <w:rFonts w:cstheme="minorHAnsi"/>
          <w:color w:val="404040" w:themeColor="text1" w:themeTint="BF"/>
        </w:rPr>
        <w:t>přechod k</w:t>
      </w:r>
      <w:r>
        <w:rPr>
          <w:rFonts w:cstheme="minorHAnsi"/>
          <w:color w:val="404040" w:themeColor="text1" w:themeTint="BF"/>
        </w:rPr>
        <w:t> </w:t>
      </w:r>
      <w:r w:rsidRPr="00FA742D">
        <w:rPr>
          <w:rFonts w:cstheme="minorHAnsi"/>
          <w:color w:val="404040" w:themeColor="text1" w:themeTint="BF"/>
        </w:rPr>
        <w:t>nízkouhlíkové mobilit</w:t>
      </w:r>
      <w:r>
        <w:rPr>
          <w:rFonts w:cstheme="minorHAnsi"/>
          <w:color w:val="404040" w:themeColor="text1" w:themeTint="BF"/>
        </w:rPr>
        <w:t>ě</w:t>
      </w:r>
      <w:r w:rsidRPr="00FA742D">
        <w:rPr>
          <w:rFonts w:cstheme="minorHAnsi"/>
          <w:color w:val="404040" w:themeColor="text1" w:themeTint="BF"/>
        </w:rPr>
        <w:t xml:space="preserve">. </w:t>
      </w:r>
    </w:p>
    <w:p w:rsidR="00847D58" w:rsidRDefault="00847D58" w:rsidP="005942E7">
      <w:pPr>
        <w:spacing w:after="0"/>
        <w:jc w:val="both"/>
        <w:rPr>
          <w:rFonts w:cstheme="minorHAnsi"/>
          <w:b/>
          <w:color w:val="404040" w:themeColor="text1" w:themeTint="BF"/>
        </w:rPr>
      </w:pPr>
    </w:p>
    <w:p w:rsidR="005942E7" w:rsidRPr="00313BEE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650F39">
        <w:rPr>
          <w:rFonts w:cstheme="minorHAnsi"/>
          <w:b/>
          <w:color w:val="404040" w:themeColor="text1" w:themeTint="BF"/>
        </w:rPr>
        <w:t>Cílem nařízení je snížit zpoždění při realizaci</w:t>
      </w:r>
      <w:r w:rsidRPr="005445E2">
        <w:rPr>
          <w:rFonts w:cstheme="minorHAnsi"/>
          <w:color w:val="404040" w:themeColor="text1" w:themeTint="BF"/>
        </w:rPr>
        <w:t xml:space="preserve"> projektů infrastruktury </w:t>
      </w:r>
      <w:r w:rsidRPr="00650F39">
        <w:rPr>
          <w:rFonts w:cstheme="minorHAnsi"/>
          <w:b/>
          <w:color w:val="404040" w:themeColor="text1" w:themeTint="BF"/>
        </w:rPr>
        <w:t>TEN-T</w:t>
      </w:r>
      <w:r w:rsidRPr="005445E2">
        <w:rPr>
          <w:rFonts w:cstheme="minorHAnsi"/>
          <w:color w:val="404040" w:themeColor="text1" w:themeTint="BF"/>
        </w:rPr>
        <w:t xml:space="preserve">. </w:t>
      </w:r>
      <w:r w:rsidRPr="00650F39">
        <w:rPr>
          <w:rFonts w:cstheme="minorHAnsi"/>
          <w:b/>
          <w:color w:val="404040" w:themeColor="text1" w:themeTint="BF"/>
        </w:rPr>
        <w:t>Stanoví maximální limit tří let pro celé povolování řízení</w:t>
      </w:r>
      <w:r>
        <w:rPr>
          <w:rFonts w:cstheme="minorHAnsi"/>
          <w:color w:val="404040" w:themeColor="text1" w:themeTint="BF"/>
        </w:rPr>
        <w:t xml:space="preserve"> (</w:t>
      </w:r>
      <w:r w:rsidRPr="00313BEE">
        <w:rPr>
          <w:rFonts w:cstheme="minorHAnsi"/>
          <w:color w:val="404040" w:themeColor="text1" w:themeTint="BF"/>
        </w:rPr>
        <w:t>permitting process). Cílem je také vyjasnit procesy, kterými musí navrhovatelé projektů procházet, zejména pokud jde o udělování povolení, zadávání veřejných zakázek a další postupy.</w:t>
      </w:r>
    </w:p>
    <w:p w:rsidR="00847D58" w:rsidRPr="00313BEE" w:rsidRDefault="00847D58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313BEE">
        <w:rPr>
          <w:rFonts w:cstheme="minorHAnsi"/>
          <w:color w:val="404040" w:themeColor="text1" w:themeTint="BF"/>
        </w:rPr>
        <w:t xml:space="preserve">Iniciativa se netýká se správních ani soudních opravných prostředků. </w:t>
      </w:r>
      <w:r w:rsidRPr="00313BEE">
        <w:rPr>
          <w:rFonts w:cstheme="minorHAnsi"/>
          <w:b/>
          <w:color w:val="404040" w:themeColor="text1" w:themeTint="BF"/>
        </w:rPr>
        <w:t>Členské státy</w:t>
      </w:r>
      <w:r w:rsidRPr="00313BEE">
        <w:rPr>
          <w:rFonts w:cstheme="minorHAnsi"/>
          <w:color w:val="404040" w:themeColor="text1" w:themeTint="BF"/>
        </w:rPr>
        <w:t xml:space="preserve"> však </w:t>
      </w:r>
      <w:r w:rsidRPr="00313BEE">
        <w:rPr>
          <w:rFonts w:cstheme="minorHAnsi"/>
          <w:b/>
          <w:color w:val="404040" w:themeColor="text1" w:themeTint="BF"/>
        </w:rPr>
        <w:t>mohou stanovit zvláštní procesní pravidla</w:t>
      </w:r>
      <w:r w:rsidRPr="00313BEE">
        <w:rPr>
          <w:rFonts w:cstheme="minorHAnsi"/>
          <w:color w:val="404040" w:themeColor="text1" w:themeTint="BF"/>
        </w:rPr>
        <w:t xml:space="preserve">, jako je </w:t>
      </w:r>
      <w:r w:rsidRPr="00313BEE">
        <w:rPr>
          <w:rFonts w:cstheme="minorHAnsi"/>
          <w:b/>
          <w:color w:val="404040" w:themeColor="text1" w:themeTint="BF"/>
        </w:rPr>
        <w:t xml:space="preserve">nepřípustnost argumentu, jehož možnost předložení je zneužita či je předložen se špatným úmyslem, </w:t>
      </w:r>
      <w:r w:rsidRPr="00313BEE">
        <w:rPr>
          <w:rFonts w:cstheme="minorHAnsi"/>
          <w:color w:val="404040" w:themeColor="text1" w:themeTint="BF"/>
        </w:rPr>
        <w:t xml:space="preserve">což zajistí účinnost soudního řízení (legal proceedings). Cílem </w:t>
      </w:r>
      <w:r w:rsidRPr="00EC688A">
        <w:rPr>
          <w:rFonts w:cstheme="minorHAnsi"/>
          <w:color w:val="404040" w:themeColor="text1" w:themeTint="BF"/>
        </w:rPr>
        <w:t xml:space="preserve">je </w:t>
      </w:r>
      <w:r>
        <w:rPr>
          <w:rFonts w:cstheme="minorHAnsi"/>
          <w:color w:val="404040" w:themeColor="text1" w:themeTint="BF"/>
        </w:rPr>
        <w:t>zavést</w:t>
      </w:r>
      <w:r w:rsidRPr="00EC688A">
        <w:rPr>
          <w:rFonts w:cstheme="minorHAnsi"/>
          <w:color w:val="404040" w:themeColor="text1" w:themeTint="BF"/>
        </w:rPr>
        <w:t xml:space="preserve"> jednotn</w:t>
      </w:r>
      <w:r>
        <w:rPr>
          <w:rFonts w:cstheme="minorHAnsi"/>
          <w:color w:val="404040" w:themeColor="text1" w:themeTint="BF"/>
        </w:rPr>
        <w:t>ý</w:t>
      </w:r>
      <w:r w:rsidRPr="00EC688A">
        <w:rPr>
          <w:rFonts w:cstheme="minorHAnsi"/>
          <w:color w:val="404040" w:themeColor="text1" w:themeTint="BF"/>
        </w:rPr>
        <w:t xml:space="preserve"> rám</w:t>
      </w:r>
      <w:r>
        <w:rPr>
          <w:rFonts w:cstheme="minorHAnsi"/>
          <w:color w:val="404040" w:themeColor="text1" w:themeTint="BF"/>
        </w:rPr>
        <w:t>e</w:t>
      </w:r>
      <w:r w:rsidRPr="00EC688A">
        <w:rPr>
          <w:rFonts w:cstheme="minorHAnsi"/>
          <w:color w:val="404040" w:themeColor="text1" w:themeTint="BF"/>
        </w:rPr>
        <w:t>c</w:t>
      </w:r>
      <w:r>
        <w:rPr>
          <w:rFonts w:cstheme="minorHAnsi"/>
          <w:color w:val="404040" w:themeColor="text1" w:themeTint="BF"/>
        </w:rPr>
        <w:t xml:space="preserve"> veřejných zakázek</w:t>
      </w:r>
      <w:r w:rsidRPr="00EC688A">
        <w:rPr>
          <w:rFonts w:cstheme="minorHAnsi"/>
          <w:color w:val="404040" w:themeColor="text1" w:themeTint="BF"/>
        </w:rPr>
        <w:t xml:space="preserve"> přeshraničních projektů prováděných společným subjektem</w:t>
      </w:r>
      <w:r w:rsidR="00464006">
        <w:rPr>
          <w:rFonts w:cstheme="minorHAnsi"/>
          <w:color w:val="404040" w:themeColor="text1" w:themeTint="BF"/>
        </w:rPr>
        <w:t xml:space="preserve"> (</w:t>
      </w:r>
      <w:r w:rsidRPr="00EC688A">
        <w:rPr>
          <w:rFonts w:cstheme="minorHAnsi"/>
          <w:color w:val="404040" w:themeColor="text1" w:themeTint="BF"/>
        </w:rPr>
        <w:t>pokud se zúčastněné státy nerozhodnou jinak</w:t>
      </w:r>
      <w:r w:rsidR="00464006">
        <w:rPr>
          <w:rFonts w:cstheme="minorHAnsi"/>
          <w:color w:val="404040" w:themeColor="text1" w:themeTint="BF"/>
        </w:rPr>
        <w:t>)</w:t>
      </w:r>
      <w:r>
        <w:rPr>
          <w:rFonts w:cstheme="minorHAnsi"/>
          <w:color w:val="404040" w:themeColor="text1" w:themeTint="BF"/>
        </w:rPr>
        <w:t>, aby bylo zabráněno nárůstu nákladů a dalším komplikacím.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1B3392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1B3392">
        <w:rPr>
          <w:rFonts w:cstheme="minorHAnsi"/>
          <w:b/>
          <w:color w:val="404040" w:themeColor="text1" w:themeTint="BF"/>
          <w:u w:val="single"/>
        </w:rPr>
        <w:t>Posouzení dopadů</w:t>
      </w:r>
    </w:p>
    <w:p w:rsidR="005942E7" w:rsidRDefault="005942E7" w:rsidP="00B6003D">
      <w:pPr>
        <w:pStyle w:val="Odstavecseseznamem"/>
        <w:numPr>
          <w:ilvl w:val="0"/>
          <w:numId w:val="38"/>
        </w:numPr>
        <w:spacing w:after="0"/>
        <w:jc w:val="both"/>
        <w:rPr>
          <w:rFonts w:cstheme="minorHAnsi"/>
          <w:color w:val="404040" w:themeColor="text1" w:themeTint="BF"/>
        </w:rPr>
      </w:pPr>
      <w:r w:rsidRPr="00771AA4">
        <w:rPr>
          <w:rFonts w:cstheme="minorHAnsi"/>
          <w:color w:val="404040" w:themeColor="text1" w:themeTint="BF"/>
        </w:rPr>
        <w:t>PO1 – Minimální změna stávajících nástrojů a vývoj „soft law“ a doprovodná opatření.</w:t>
      </w:r>
    </w:p>
    <w:p w:rsidR="005942E7" w:rsidRDefault="005942E7" w:rsidP="00B6003D">
      <w:pPr>
        <w:pStyle w:val="Odstavecseseznamem"/>
        <w:numPr>
          <w:ilvl w:val="0"/>
          <w:numId w:val="38"/>
        </w:numPr>
        <w:spacing w:after="0"/>
        <w:jc w:val="both"/>
        <w:rPr>
          <w:rFonts w:cstheme="minorHAnsi"/>
          <w:color w:val="404040" w:themeColor="text1" w:themeTint="BF"/>
        </w:rPr>
      </w:pPr>
      <w:r w:rsidRPr="00771AA4">
        <w:rPr>
          <w:rFonts w:cstheme="minorHAnsi"/>
          <w:b/>
          <w:color w:val="404040" w:themeColor="text1" w:themeTint="BF"/>
        </w:rPr>
        <w:t>PO2 – Některá závazná opatření, která mají být decentralizována a prováděna na vnitrostátní úrovni</w:t>
      </w:r>
      <w:r w:rsidRPr="00771AA4">
        <w:rPr>
          <w:rFonts w:cstheme="minorHAnsi"/>
          <w:color w:val="404040" w:themeColor="text1" w:themeTint="BF"/>
        </w:rPr>
        <w:t>.</w:t>
      </w:r>
    </w:p>
    <w:p w:rsidR="005942E7" w:rsidRPr="00771AA4" w:rsidRDefault="005942E7" w:rsidP="00B6003D">
      <w:pPr>
        <w:pStyle w:val="Odstavecseseznamem"/>
        <w:numPr>
          <w:ilvl w:val="0"/>
          <w:numId w:val="38"/>
        </w:numPr>
        <w:spacing w:after="0"/>
        <w:jc w:val="both"/>
        <w:rPr>
          <w:rFonts w:cstheme="minorHAnsi"/>
          <w:color w:val="404040" w:themeColor="text1" w:themeTint="BF"/>
        </w:rPr>
      </w:pPr>
      <w:r w:rsidRPr="00771AA4">
        <w:rPr>
          <w:rFonts w:cstheme="minorHAnsi"/>
          <w:color w:val="404040" w:themeColor="text1" w:themeTint="BF"/>
        </w:rPr>
        <w:t>PO3 – Rámec EU pro schvalování projektů hlavních sítí TEN-T, které mají být uplatňovány na vnitrostátní úrovni (PO3a) nebo na úrovni EU (PO3b).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771AA4">
        <w:rPr>
          <w:rFonts w:cstheme="minorHAnsi"/>
          <w:b/>
          <w:color w:val="404040" w:themeColor="text1" w:themeTint="BF"/>
        </w:rPr>
        <w:t xml:space="preserve">Posouzení dopadů doporučilo </w:t>
      </w:r>
      <w:r>
        <w:rPr>
          <w:rFonts w:cstheme="minorHAnsi"/>
          <w:b/>
          <w:color w:val="404040" w:themeColor="text1" w:themeTint="BF"/>
        </w:rPr>
        <w:t>PO</w:t>
      </w:r>
      <w:r w:rsidRPr="00771AA4">
        <w:rPr>
          <w:rFonts w:cstheme="minorHAnsi"/>
          <w:b/>
          <w:color w:val="404040" w:themeColor="text1" w:themeTint="BF"/>
        </w:rPr>
        <w:t>2</w:t>
      </w:r>
      <w:r>
        <w:rPr>
          <w:rFonts w:cstheme="minorHAnsi"/>
          <w:b/>
          <w:color w:val="404040" w:themeColor="text1" w:themeTint="BF"/>
        </w:rPr>
        <w:t xml:space="preserve"> </w:t>
      </w:r>
      <w:r w:rsidRPr="002C321B">
        <w:rPr>
          <w:rFonts w:cstheme="minorHAnsi"/>
          <w:color w:val="404040" w:themeColor="text1" w:themeTint="BF"/>
        </w:rPr>
        <w:t>a iniciativa se řídí tímto doporučením.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5064AB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5064AB">
        <w:rPr>
          <w:rFonts w:cstheme="minorHAnsi"/>
          <w:b/>
          <w:color w:val="404040" w:themeColor="text1" w:themeTint="BF"/>
          <w:u w:val="single"/>
        </w:rPr>
        <w:t>Očekávané přínosy</w:t>
      </w:r>
    </w:p>
    <w:p w:rsidR="005942E7" w:rsidRDefault="005942E7" w:rsidP="00B6003D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color w:val="404040" w:themeColor="text1" w:themeTint="BF"/>
        </w:rPr>
      </w:pPr>
      <w:r w:rsidRPr="00912762">
        <w:rPr>
          <w:rFonts w:cstheme="minorHAnsi"/>
          <w:color w:val="404040" w:themeColor="text1" w:themeTint="BF"/>
        </w:rPr>
        <w:t xml:space="preserve">Úspora času: lze předpokládat, že postupy vydávání povolení budou trvat </w:t>
      </w:r>
      <w:r w:rsidRPr="00BE24F2">
        <w:rPr>
          <w:rFonts w:cstheme="minorHAnsi"/>
          <w:b/>
          <w:color w:val="404040" w:themeColor="text1" w:themeTint="BF"/>
        </w:rPr>
        <w:t>nejvýše tři roky</w:t>
      </w:r>
      <w:r w:rsidRPr="00912762">
        <w:rPr>
          <w:rFonts w:cstheme="minorHAnsi"/>
          <w:color w:val="404040" w:themeColor="text1" w:themeTint="BF"/>
        </w:rPr>
        <w:t>, což je výrazné zlepšení ve srovnání se současnou situací.</w:t>
      </w:r>
    </w:p>
    <w:p w:rsidR="005942E7" w:rsidRDefault="00464006" w:rsidP="00B6003D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Úspora nákladů uživatel§: </w:t>
      </w:r>
      <w:r w:rsidR="005942E7" w:rsidRPr="005614F3">
        <w:rPr>
          <w:rFonts w:cstheme="minorHAnsi"/>
          <w:color w:val="404040" w:themeColor="text1" w:themeTint="BF"/>
        </w:rPr>
        <w:t xml:space="preserve">více než </w:t>
      </w:r>
      <w:r w:rsidR="005942E7" w:rsidRPr="00BE24F2">
        <w:rPr>
          <w:rFonts w:cstheme="minorHAnsi"/>
          <w:b/>
          <w:color w:val="404040" w:themeColor="text1" w:themeTint="BF"/>
        </w:rPr>
        <w:t>5 mld. EUR v úsporách uživatelských nákladů</w:t>
      </w:r>
      <w:r w:rsidR="005942E7" w:rsidRPr="005614F3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color w:val="404040" w:themeColor="text1" w:themeTint="BF"/>
        </w:rPr>
      </w:pPr>
      <w:r w:rsidRPr="005614F3">
        <w:rPr>
          <w:rFonts w:cstheme="minorHAnsi"/>
          <w:color w:val="404040" w:themeColor="text1" w:themeTint="BF"/>
        </w:rPr>
        <w:t>Investice: 84</w:t>
      </w:r>
      <w:r>
        <w:rPr>
          <w:rFonts w:cstheme="minorHAnsi"/>
          <w:color w:val="404040" w:themeColor="text1" w:themeTint="BF"/>
        </w:rPr>
        <w:t xml:space="preserve"> </w:t>
      </w:r>
      <w:r w:rsidRPr="005614F3">
        <w:rPr>
          <w:rFonts w:cstheme="minorHAnsi"/>
          <w:color w:val="404040" w:themeColor="text1" w:themeTint="BF"/>
        </w:rPr>
        <w:t>% celkových investic do základní sítě TEN-T bude</w:t>
      </w:r>
      <w:r>
        <w:rPr>
          <w:rFonts w:cstheme="minorHAnsi"/>
          <w:color w:val="404040" w:themeColor="text1" w:themeTint="BF"/>
        </w:rPr>
        <w:t xml:space="preserve"> učiněné</w:t>
      </w:r>
      <w:r w:rsidRPr="005614F3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před</w:t>
      </w:r>
      <w:r w:rsidRPr="005614F3">
        <w:rPr>
          <w:rFonts w:cstheme="minorHAnsi"/>
          <w:color w:val="404040" w:themeColor="text1" w:themeTint="BF"/>
        </w:rPr>
        <w:t xml:space="preserve"> rok</w:t>
      </w:r>
      <w:r>
        <w:rPr>
          <w:rFonts w:cstheme="minorHAnsi"/>
          <w:color w:val="404040" w:themeColor="text1" w:themeTint="BF"/>
        </w:rPr>
        <w:t>em</w:t>
      </w:r>
      <w:r w:rsidRPr="005614F3">
        <w:rPr>
          <w:rFonts w:cstheme="minorHAnsi"/>
          <w:color w:val="404040" w:themeColor="text1" w:themeTint="BF"/>
        </w:rPr>
        <w:t xml:space="preserve"> 2025.</w:t>
      </w:r>
    </w:p>
    <w:p w:rsidR="005942E7" w:rsidRDefault="005942E7" w:rsidP="00B6003D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color w:val="404040" w:themeColor="text1" w:themeTint="BF"/>
        </w:rPr>
      </w:pPr>
      <w:r w:rsidRPr="00BE24F2">
        <w:rPr>
          <w:rFonts w:cstheme="minorHAnsi"/>
          <w:color w:val="404040" w:themeColor="text1" w:themeTint="BF"/>
        </w:rPr>
        <w:t>Snížení vnějších dopadů dopravy: úspora 700 mil. EUR - emise CO</w:t>
      </w:r>
      <w:r w:rsidRPr="00BE24F2">
        <w:rPr>
          <w:rFonts w:cstheme="minorHAnsi"/>
          <w:color w:val="404040" w:themeColor="text1" w:themeTint="BF"/>
          <w:vertAlign w:val="subscript"/>
        </w:rPr>
        <w:t>2</w:t>
      </w:r>
      <w:r w:rsidRPr="00BE24F2">
        <w:rPr>
          <w:rFonts w:cstheme="minorHAnsi"/>
          <w:color w:val="404040" w:themeColor="text1" w:themeTint="BF"/>
        </w:rPr>
        <w:t xml:space="preserve"> (2 686 tis. tun ušetřených pro období 2018-2030), snížení hluku, znečištění ovzduší, přetížení dopravy a počtu nehod.</w:t>
      </w:r>
    </w:p>
    <w:p w:rsidR="005942E7" w:rsidRPr="00BE24F2" w:rsidRDefault="005942E7" w:rsidP="00B6003D">
      <w:pPr>
        <w:pStyle w:val="Odstavecseseznamem"/>
        <w:numPr>
          <w:ilvl w:val="0"/>
          <w:numId w:val="20"/>
        </w:numPr>
        <w:spacing w:after="0"/>
        <w:jc w:val="both"/>
        <w:rPr>
          <w:rFonts w:cstheme="minorHAnsi"/>
          <w:color w:val="404040" w:themeColor="text1" w:themeTint="BF"/>
        </w:rPr>
      </w:pPr>
      <w:r w:rsidRPr="00BE24F2">
        <w:rPr>
          <w:rFonts w:cstheme="minorHAnsi"/>
          <w:color w:val="404040" w:themeColor="text1" w:themeTint="BF"/>
        </w:rPr>
        <w:t>Administrativ</w:t>
      </w:r>
      <w:r>
        <w:rPr>
          <w:rFonts w:cstheme="minorHAnsi"/>
          <w:color w:val="404040" w:themeColor="text1" w:themeTint="BF"/>
        </w:rPr>
        <w:t>a</w:t>
      </w:r>
      <w:r w:rsidRPr="00BE24F2">
        <w:rPr>
          <w:rFonts w:cstheme="minorHAnsi"/>
          <w:color w:val="404040" w:themeColor="text1" w:themeTint="BF"/>
        </w:rPr>
        <w:t>: čisté úspory ve výši 150 mil. EUR pro předkladatele projektů a veřejné orgány.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847D58" w:rsidRDefault="00847D58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847D58" w:rsidRDefault="00847D58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E14D26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E14D26">
        <w:rPr>
          <w:rFonts w:cstheme="minorHAnsi"/>
          <w:b/>
          <w:color w:val="404040" w:themeColor="text1" w:themeTint="BF"/>
          <w:u w:val="single"/>
        </w:rPr>
        <w:t>Nařízení</w:t>
      </w:r>
    </w:p>
    <w:p w:rsidR="005942E7" w:rsidRDefault="005942E7" w:rsidP="00B6003D">
      <w:pPr>
        <w:pStyle w:val="Odstavecseseznamem"/>
        <w:numPr>
          <w:ilvl w:val="0"/>
          <w:numId w:val="39"/>
        </w:numPr>
        <w:spacing w:after="0"/>
        <w:jc w:val="both"/>
        <w:rPr>
          <w:rFonts w:cstheme="minorHAnsi"/>
          <w:color w:val="404040" w:themeColor="text1" w:themeTint="BF"/>
        </w:rPr>
      </w:pPr>
      <w:r w:rsidRPr="00BE24F2">
        <w:rPr>
          <w:rFonts w:cstheme="minorHAnsi"/>
          <w:color w:val="404040" w:themeColor="text1" w:themeTint="BF"/>
        </w:rPr>
        <w:t xml:space="preserve">Článek 1 </w:t>
      </w:r>
      <w:r>
        <w:rPr>
          <w:rFonts w:cstheme="minorHAnsi"/>
          <w:color w:val="404040" w:themeColor="text1" w:themeTint="BF"/>
        </w:rPr>
        <w:t>(</w:t>
      </w:r>
      <w:r w:rsidRPr="00215055">
        <w:rPr>
          <w:rFonts w:cstheme="minorHAnsi"/>
          <w:b/>
          <w:color w:val="404040" w:themeColor="text1" w:themeTint="BF"/>
        </w:rPr>
        <w:t>Předmět a oblast působnosti</w:t>
      </w:r>
      <w:r>
        <w:rPr>
          <w:rFonts w:cstheme="minorHAnsi"/>
          <w:color w:val="404040" w:themeColor="text1" w:themeTint="BF"/>
        </w:rPr>
        <w:t xml:space="preserve">) </w:t>
      </w:r>
      <w:r w:rsidRPr="00012D9C">
        <w:rPr>
          <w:rFonts w:cstheme="minorHAnsi"/>
          <w:color w:val="404040" w:themeColor="text1" w:themeTint="BF"/>
        </w:rPr>
        <w:t>zavádí cíle nařízení</w:t>
      </w:r>
      <w:r>
        <w:rPr>
          <w:rFonts w:cstheme="minorHAnsi"/>
          <w:color w:val="404040" w:themeColor="text1" w:themeTint="BF"/>
        </w:rPr>
        <w:t xml:space="preserve"> -</w:t>
      </w:r>
      <w:r w:rsidRPr="00012D9C">
        <w:rPr>
          <w:rFonts w:cstheme="minorHAnsi"/>
          <w:color w:val="404040" w:themeColor="text1" w:themeTint="BF"/>
        </w:rPr>
        <w:t xml:space="preserve"> </w:t>
      </w:r>
      <w:r w:rsidRPr="00012D9C">
        <w:rPr>
          <w:rFonts w:cstheme="minorHAnsi"/>
          <w:b/>
          <w:color w:val="404040" w:themeColor="text1" w:themeTint="BF"/>
        </w:rPr>
        <w:t>účinné a včasné</w:t>
      </w:r>
      <w:r>
        <w:rPr>
          <w:rFonts w:cstheme="minorHAnsi"/>
          <w:b/>
          <w:color w:val="404040" w:themeColor="text1" w:themeTint="BF"/>
        </w:rPr>
        <w:t xml:space="preserve"> </w:t>
      </w:r>
      <w:r w:rsidRPr="00012D9C">
        <w:rPr>
          <w:rFonts w:cstheme="minorHAnsi"/>
          <w:b/>
          <w:color w:val="404040" w:themeColor="text1" w:themeTint="BF"/>
        </w:rPr>
        <w:t>dokončení TEN-T</w:t>
      </w:r>
      <w:r w:rsidRPr="00012D9C">
        <w:rPr>
          <w:rFonts w:cstheme="minorHAnsi"/>
          <w:color w:val="404040" w:themeColor="text1" w:themeTint="BF"/>
        </w:rPr>
        <w:t>, a to pomocí snížení rizika zpoždění a zvýšení jistoty pro předkladatele projektů a</w:t>
      </w:r>
      <w:r>
        <w:rPr>
          <w:rFonts w:cstheme="minorHAnsi"/>
          <w:color w:val="404040" w:themeColor="text1" w:themeTint="BF"/>
        </w:rPr>
        <w:t> </w:t>
      </w:r>
      <w:r w:rsidRPr="00012D9C">
        <w:rPr>
          <w:rFonts w:cstheme="minorHAnsi"/>
          <w:color w:val="404040" w:themeColor="text1" w:themeTint="BF"/>
        </w:rPr>
        <w:t>investor</w:t>
      </w:r>
      <w:r>
        <w:rPr>
          <w:rFonts w:cstheme="minorHAnsi"/>
          <w:color w:val="404040" w:themeColor="text1" w:themeTint="BF"/>
        </w:rPr>
        <w:t>y</w:t>
      </w:r>
      <w:r w:rsidRPr="00012D9C">
        <w:rPr>
          <w:rFonts w:cstheme="minorHAnsi"/>
          <w:color w:val="404040" w:themeColor="text1" w:themeTint="BF"/>
        </w:rPr>
        <w:t>. Dalším cílem je usnadnit zapojení soukromých investorů a vyjasnění veřejných konzultací.</w:t>
      </w:r>
    </w:p>
    <w:p w:rsidR="005942E7" w:rsidRDefault="005942E7" w:rsidP="00B6003D">
      <w:pPr>
        <w:pStyle w:val="Odstavecseseznamem"/>
        <w:numPr>
          <w:ilvl w:val="0"/>
          <w:numId w:val="39"/>
        </w:numPr>
        <w:spacing w:after="0"/>
        <w:jc w:val="both"/>
        <w:rPr>
          <w:rFonts w:cstheme="minorHAnsi"/>
          <w:color w:val="404040" w:themeColor="text1" w:themeTint="BF"/>
        </w:rPr>
      </w:pPr>
      <w:r w:rsidRPr="00012D9C">
        <w:rPr>
          <w:rFonts w:cstheme="minorHAnsi"/>
          <w:color w:val="404040" w:themeColor="text1" w:themeTint="BF"/>
        </w:rPr>
        <w:t>Článek 3 (</w:t>
      </w:r>
      <w:r w:rsidRPr="00215055">
        <w:rPr>
          <w:rFonts w:cstheme="minorHAnsi"/>
          <w:b/>
          <w:color w:val="404040" w:themeColor="text1" w:themeTint="BF"/>
        </w:rPr>
        <w:t>Prioritní status projektů společného zájmu</w:t>
      </w:r>
      <w:r w:rsidRPr="00012D9C">
        <w:rPr>
          <w:rFonts w:cstheme="minorHAnsi"/>
          <w:color w:val="404040" w:themeColor="text1" w:themeTint="BF"/>
        </w:rPr>
        <w:t xml:space="preserve">) - některé členské státy ve vnitrostátních předpisech urychlují </w:t>
      </w:r>
      <w:r>
        <w:rPr>
          <w:rFonts w:cstheme="minorHAnsi"/>
          <w:color w:val="404040" w:themeColor="text1" w:themeTint="BF"/>
        </w:rPr>
        <w:t xml:space="preserve">a racionalizují </w:t>
      </w:r>
      <w:r w:rsidRPr="00012D9C">
        <w:rPr>
          <w:rFonts w:cstheme="minorHAnsi"/>
          <w:color w:val="404040" w:themeColor="text1" w:themeTint="BF"/>
        </w:rPr>
        <w:t xml:space="preserve">postupy </w:t>
      </w:r>
      <w:r>
        <w:rPr>
          <w:rFonts w:cstheme="minorHAnsi"/>
          <w:color w:val="404040" w:themeColor="text1" w:themeTint="BF"/>
        </w:rPr>
        <w:t>zacházení některých</w:t>
      </w:r>
      <w:r w:rsidRPr="00012D9C">
        <w:rPr>
          <w:rFonts w:cstheme="minorHAnsi"/>
          <w:color w:val="404040" w:themeColor="text1" w:themeTint="BF"/>
        </w:rPr>
        <w:t xml:space="preserve"> kategori</w:t>
      </w:r>
      <w:r>
        <w:rPr>
          <w:rFonts w:cstheme="minorHAnsi"/>
          <w:color w:val="404040" w:themeColor="text1" w:themeTint="BF"/>
        </w:rPr>
        <w:t>í</w:t>
      </w:r>
      <w:r w:rsidRPr="00012D9C">
        <w:rPr>
          <w:rFonts w:cstheme="minorHAnsi"/>
          <w:color w:val="404040" w:themeColor="text1" w:themeTint="BF"/>
        </w:rPr>
        <w:t xml:space="preserve"> projektů na základě jejich důležitosti pro rozvoj země či</w:t>
      </w:r>
      <w:r w:rsidR="00215055">
        <w:rPr>
          <w:rFonts w:cstheme="minorHAnsi"/>
          <w:color w:val="404040" w:themeColor="text1" w:themeTint="BF"/>
        </w:rPr>
        <w:t xml:space="preserve"> z</w:t>
      </w:r>
      <w:r w:rsidRPr="00012D9C">
        <w:rPr>
          <w:rFonts w:cstheme="minorHAnsi"/>
          <w:color w:val="404040" w:themeColor="text1" w:themeTint="BF"/>
        </w:rPr>
        <w:t xml:space="preserve"> jiných důvodů. </w:t>
      </w:r>
      <w:r>
        <w:rPr>
          <w:rFonts w:cstheme="minorHAnsi"/>
          <w:color w:val="404040" w:themeColor="text1" w:themeTint="BF"/>
        </w:rPr>
        <w:t xml:space="preserve">Aby byly splněny </w:t>
      </w:r>
      <w:r w:rsidRPr="00012D9C">
        <w:rPr>
          <w:rFonts w:cstheme="minorHAnsi"/>
          <w:color w:val="404040" w:themeColor="text1" w:themeTint="BF"/>
        </w:rPr>
        <w:t>cíle dokončení TEN-T, k nimž se členské státy zavázaly přij</w:t>
      </w:r>
      <w:r>
        <w:rPr>
          <w:rFonts w:cstheme="minorHAnsi"/>
          <w:color w:val="404040" w:themeColor="text1" w:themeTint="BF"/>
        </w:rPr>
        <w:t>etím</w:t>
      </w:r>
      <w:r w:rsidRPr="00012D9C">
        <w:rPr>
          <w:rFonts w:cstheme="minorHAnsi"/>
          <w:color w:val="404040" w:themeColor="text1" w:themeTint="BF"/>
        </w:rPr>
        <w:t xml:space="preserve"> nařízení</w:t>
      </w:r>
      <w:r w:rsidR="00215055">
        <w:rPr>
          <w:rFonts w:cstheme="minorHAnsi"/>
          <w:color w:val="404040" w:themeColor="text1" w:themeTint="BF"/>
        </w:rPr>
        <w:t xml:space="preserve"> (v Radě)</w:t>
      </w:r>
      <w:r w:rsidRPr="00012D9C">
        <w:rPr>
          <w:rFonts w:cstheme="minorHAnsi"/>
          <w:color w:val="404040" w:themeColor="text1" w:themeTint="BF"/>
        </w:rPr>
        <w:t xml:space="preserve">, které vymezuje tuto síť a závazné lhůty pro její dokončení, mělo by se obdobné </w:t>
      </w:r>
      <w:r w:rsidRPr="00ED26D4">
        <w:rPr>
          <w:rFonts w:cstheme="minorHAnsi"/>
          <w:b/>
          <w:color w:val="404040" w:themeColor="text1" w:themeTint="BF"/>
        </w:rPr>
        <w:t>preferenční zacházení vztahovat na projekty společného zájmu EU</w:t>
      </w:r>
      <w:r w:rsidRPr="00012D9C">
        <w:rPr>
          <w:rFonts w:cstheme="minorHAnsi"/>
          <w:color w:val="404040" w:themeColor="text1" w:themeTint="BF"/>
        </w:rPr>
        <w:t xml:space="preserve"> (definice dle nařízení (EU) č. 1315/2013</w:t>
      </w:r>
      <w:r>
        <w:rPr>
          <w:rFonts w:cstheme="minorHAnsi"/>
          <w:color w:val="404040" w:themeColor="text1" w:themeTint="BF"/>
        </w:rPr>
        <w:t>)</w:t>
      </w:r>
      <w:r w:rsidRPr="00012D9C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0"/>
          <w:numId w:val="39"/>
        </w:numPr>
        <w:spacing w:after="0"/>
        <w:jc w:val="both"/>
        <w:rPr>
          <w:rFonts w:cstheme="minorHAnsi"/>
          <w:color w:val="404040" w:themeColor="text1" w:themeTint="BF"/>
        </w:rPr>
      </w:pPr>
      <w:r w:rsidRPr="00ED26D4">
        <w:rPr>
          <w:rFonts w:cstheme="minorHAnsi"/>
          <w:color w:val="404040" w:themeColor="text1" w:themeTint="BF"/>
        </w:rPr>
        <w:t xml:space="preserve">Článek 4 </w:t>
      </w:r>
      <w:r>
        <w:rPr>
          <w:rFonts w:cstheme="minorHAnsi"/>
          <w:color w:val="404040" w:themeColor="text1" w:themeTint="BF"/>
        </w:rPr>
        <w:t>(</w:t>
      </w:r>
      <w:r w:rsidRPr="00215055">
        <w:rPr>
          <w:rFonts w:cstheme="minorHAnsi"/>
          <w:b/>
          <w:color w:val="404040" w:themeColor="text1" w:themeTint="BF"/>
        </w:rPr>
        <w:t>Integrace postupů udělení povolení</w:t>
      </w:r>
      <w:r>
        <w:rPr>
          <w:rFonts w:cstheme="minorHAnsi"/>
          <w:color w:val="404040" w:themeColor="text1" w:themeTint="BF"/>
        </w:rPr>
        <w:t>)</w:t>
      </w:r>
      <w:r w:rsidRPr="00ED26D4">
        <w:rPr>
          <w:rFonts w:cstheme="minorHAnsi"/>
          <w:color w:val="404040" w:themeColor="text1" w:themeTint="BF"/>
        </w:rPr>
        <w:t xml:space="preserve"> - </w:t>
      </w:r>
      <w:r>
        <w:rPr>
          <w:rFonts w:cstheme="minorHAnsi"/>
          <w:color w:val="404040" w:themeColor="text1" w:themeTint="BF"/>
        </w:rPr>
        <w:t>c</w:t>
      </w:r>
      <w:r w:rsidRPr="00ED26D4">
        <w:rPr>
          <w:rFonts w:cstheme="minorHAnsi"/>
          <w:color w:val="404040" w:themeColor="text1" w:themeTint="BF"/>
        </w:rPr>
        <w:t xml:space="preserve">ílem je začlenit různé postupy udělování povolení pro TEN-T projekty společného zájmu. Článek 4 požaduje, aby </w:t>
      </w:r>
      <w:r w:rsidRPr="00ED26D4">
        <w:rPr>
          <w:rFonts w:cstheme="minorHAnsi"/>
          <w:b/>
          <w:color w:val="404040" w:themeColor="text1" w:themeTint="BF"/>
        </w:rPr>
        <w:t>schvalování projektů TEN-T zpracovával jeden jediný orgán, který řídí a přebírá odpovědnost za celkový proces a jedná jako jediný vstupní bod pro předkladatele projektů a další investory</w:t>
      </w:r>
      <w:r w:rsidRPr="00ED26D4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0"/>
          <w:numId w:val="39"/>
        </w:numPr>
        <w:spacing w:after="0"/>
        <w:jc w:val="both"/>
        <w:rPr>
          <w:rFonts w:cstheme="minorHAnsi"/>
          <w:color w:val="404040" w:themeColor="text1" w:themeTint="BF"/>
        </w:rPr>
      </w:pPr>
      <w:r w:rsidRPr="00ED26D4">
        <w:rPr>
          <w:rFonts w:cstheme="minorHAnsi"/>
          <w:color w:val="404040" w:themeColor="text1" w:themeTint="BF"/>
        </w:rPr>
        <w:t>Článek 5 (</w:t>
      </w:r>
      <w:r w:rsidRPr="00215055">
        <w:rPr>
          <w:rFonts w:cstheme="minorHAnsi"/>
          <w:b/>
          <w:color w:val="404040" w:themeColor="text1" w:themeTint="BF"/>
        </w:rPr>
        <w:t>Jediný příslušný orgán udělující povolení</w:t>
      </w:r>
      <w:r w:rsidRPr="00ED26D4">
        <w:rPr>
          <w:rFonts w:cstheme="minorHAnsi"/>
          <w:color w:val="404040" w:themeColor="text1" w:themeTint="BF"/>
        </w:rPr>
        <w:t xml:space="preserve">) stanoví určení a úlohu takového orgánu. Orgánem může být již existující orgán členského státu. </w:t>
      </w:r>
      <w:r w:rsidRPr="00ED26D4">
        <w:rPr>
          <w:rFonts w:cstheme="minorHAnsi"/>
          <w:b/>
          <w:color w:val="404040" w:themeColor="text1" w:themeTint="BF"/>
        </w:rPr>
        <w:t>Pouze jeden orgán je odpovědný za projekt společného zájmu</w:t>
      </w:r>
      <w:r w:rsidRPr="00ED26D4">
        <w:rPr>
          <w:rFonts w:cstheme="minorHAnsi"/>
          <w:color w:val="404040" w:themeColor="text1" w:themeTint="BF"/>
        </w:rPr>
        <w:t xml:space="preserve">. </w:t>
      </w:r>
      <w:r w:rsidR="00215055">
        <w:rPr>
          <w:rFonts w:cstheme="minorHAnsi"/>
          <w:color w:val="404040" w:themeColor="text1" w:themeTint="BF"/>
        </w:rPr>
        <w:t>J</w:t>
      </w:r>
      <w:r w:rsidRPr="00ED26D4">
        <w:rPr>
          <w:rFonts w:cstheme="minorHAnsi"/>
          <w:color w:val="404040" w:themeColor="text1" w:themeTint="BF"/>
        </w:rPr>
        <w:t xml:space="preserve">e jediným kontaktním místem pro zadavatele projektu v rámci postupu vedoucího ke komplexnímu rozhodnutí o daném projektu společného zájmu. Orgán </w:t>
      </w:r>
      <w:r w:rsidRPr="00ED26D4">
        <w:rPr>
          <w:rFonts w:cstheme="minorHAnsi"/>
          <w:b/>
          <w:color w:val="404040" w:themeColor="text1" w:themeTint="BF"/>
        </w:rPr>
        <w:t>koordinuje předkládání všech příslušných dokumentů</w:t>
      </w:r>
      <w:r w:rsidRPr="00ED26D4">
        <w:rPr>
          <w:rFonts w:cstheme="minorHAnsi"/>
          <w:color w:val="404040" w:themeColor="text1" w:themeTint="BF"/>
        </w:rPr>
        <w:t xml:space="preserve"> a informací a v případě přeshraničního projektu spolupracuje se zahraničním příslušným orgánem.</w:t>
      </w:r>
    </w:p>
    <w:p w:rsidR="005942E7" w:rsidRPr="0023135E" w:rsidRDefault="005942E7" w:rsidP="00B6003D">
      <w:pPr>
        <w:pStyle w:val="Odstavecseseznamem"/>
        <w:numPr>
          <w:ilvl w:val="0"/>
          <w:numId w:val="39"/>
        </w:numPr>
        <w:spacing w:after="0"/>
        <w:jc w:val="both"/>
        <w:rPr>
          <w:rFonts w:cstheme="minorHAnsi"/>
          <w:color w:val="404040" w:themeColor="text1" w:themeTint="BF"/>
        </w:rPr>
      </w:pPr>
      <w:r w:rsidRPr="00ED26D4">
        <w:rPr>
          <w:rFonts w:cstheme="minorHAnsi"/>
          <w:color w:val="404040" w:themeColor="text1" w:themeTint="BF"/>
        </w:rPr>
        <w:t>Článek 6 (</w:t>
      </w:r>
      <w:r w:rsidRPr="00215055">
        <w:rPr>
          <w:b/>
          <w:color w:val="404040" w:themeColor="text1" w:themeTint="BF"/>
        </w:rPr>
        <w:t>Doba trvání a provádění postupu udělování povolení</w:t>
      </w:r>
      <w:r w:rsidRPr="00ED26D4">
        <w:rPr>
          <w:rFonts w:cstheme="minorHAnsi"/>
          <w:color w:val="404040" w:themeColor="text1" w:themeTint="BF"/>
        </w:rPr>
        <w:t xml:space="preserve">) definuje procesní kroky vedoucí ke komplexnímu rozhodnutí, které investora pověřuje, aby pokračoval v projektu. Postup udělení povolení se skládá z </w:t>
      </w:r>
      <w:r w:rsidRPr="00ED26D4">
        <w:rPr>
          <w:rFonts w:cstheme="minorHAnsi"/>
          <w:b/>
          <w:color w:val="404040" w:themeColor="text1" w:themeTint="BF"/>
        </w:rPr>
        <w:t>fáze před podáním žádosti a fáze posuzování žádosti a také rozhodování jediného příslušného orgánu</w:t>
      </w:r>
      <w:r w:rsidRPr="00ED26D4">
        <w:rPr>
          <w:rFonts w:cstheme="minorHAnsi"/>
          <w:color w:val="404040" w:themeColor="text1" w:themeTint="BF"/>
        </w:rPr>
        <w:t xml:space="preserve">. </w:t>
      </w:r>
      <w:r w:rsidRPr="00ED26D4">
        <w:rPr>
          <w:rFonts w:cstheme="minorHAnsi"/>
          <w:b/>
          <w:color w:val="404040" w:themeColor="text1" w:themeTint="BF"/>
        </w:rPr>
        <w:t>Fáze před podáním žádosti by neměla v principu překročit dva roky</w:t>
      </w:r>
      <w:r w:rsidRPr="00ED26D4">
        <w:rPr>
          <w:rFonts w:cstheme="minorHAnsi"/>
          <w:color w:val="404040" w:themeColor="text1" w:themeTint="BF"/>
        </w:rPr>
        <w:t xml:space="preserve">. Žádost předkladatele o zahájení povolovacího procesu bude posouzena orgánem do dvou měsíců. </w:t>
      </w:r>
      <w:r w:rsidRPr="00ED26D4">
        <w:rPr>
          <w:rFonts w:cstheme="minorHAnsi"/>
          <w:b/>
          <w:color w:val="404040" w:themeColor="text1" w:themeTint="BF"/>
        </w:rPr>
        <w:t>Předkladatel projektu předloží „</w:t>
      </w:r>
      <w:r w:rsidRPr="0023135E">
        <w:rPr>
          <w:rFonts w:cstheme="minorHAnsi"/>
          <w:b/>
          <w:color w:val="404040" w:themeColor="text1" w:themeTint="BF"/>
        </w:rPr>
        <w:t>soubor</w:t>
      </w:r>
      <w:r w:rsidR="00EB31D0" w:rsidRPr="0023135E">
        <w:rPr>
          <w:rFonts w:cstheme="minorHAnsi"/>
          <w:b/>
          <w:color w:val="404040" w:themeColor="text1" w:themeTint="BF"/>
        </w:rPr>
        <w:t>/dokumentaci</w:t>
      </w:r>
      <w:r w:rsidRPr="0023135E">
        <w:rPr>
          <w:rFonts w:cstheme="minorHAnsi"/>
          <w:b/>
          <w:color w:val="404040" w:themeColor="text1" w:themeTint="BF"/>
        </w:rPr>
        <w:t xml:space="preserve"> žádosti“ na základě podrobného přehledu žádosti ve lhůtě 21 měsíců </w:t>
      </w:r>
      <w:r w:rsidRPr="0023135E">
        <w:rPr>
          <w:rFonts w:cstheme="minorHAnsi"/>
          <w:color w:val="404040" w:themeColor="text1" w:themeTint="BF"/>
        </w:rPr>
        <w:t>od obdržení tohoto podrobného přehledu.</w:t>
      </w:r>
    </w:p>
    <w:p w:rsidR="005942E7" w:rsidRPr="0023135E" w:rsidRDefault="005942E7" w:rsidP="00B6003D">
      <w:pPr>
        <w:pStyle w:val="Odstavecseseznamem"/>
        <w:numPr>
          <w:ilvl w:val="0"/>
          <w:numId w:val="39"/>
        </w:numPr>
        <w:spacing w:after="0"/>
        <w:jc w:val="both"/>
        <w:rPr>
          <w:rFonts w:cstheme="minorHAnsi"/>
          <w:color w:val="404040" w:themeColor="text1" w:themeTint="BF"/>
        </w:rPr>
      </w:pPr>
      <w:r w:rsidRPr="0023135E">
        <w:rPr>
          <w:rFonts w:cstheme="minorHAnsi"/>
          <w:color w:val="404040" w:themeColor="text1" w:themeTint="BF"/>
        </w:rPr>
        <w:t>Článek 7 (</w:t>
      </w:r>
      <w:r w:rsidRPr="0023135E">
        <w:rPr>
          <w:rFonts w:cstheme="minorHAnsi"/>
          <w:b/>
          <w:color w:val="404040" w:themeColor="text1" w:themeTint="BF"/>
        </w:rPr>
        <w:t>Koordinace postupů přeshraničního udělování povolení</w:t>
      </w:r>
      <w:r w:rsidRPr="0023135E">
        <w:rPr>
          <w:rFonts w:cstheme="minorHAnsi"/>
          <w:color w:val="404040" w:themeColor="text1" w:themeTint="BF"/>
        </w:rPr>
        <w:t>) uvádí význam koordinace postupů při udělování přeshraničních povolení a posiluje úlohu evropských koordinátorů při sledování postupu udělování povolení.</w:t>
      </w:r>
    </w:p>
    <w:p w:rsidR="005942E7" w:rsidRPr="0023135E" w:rsidRDefault="005942E7" w:rsidP="00B6003D">
      <w:pPr>
        <w:pStyle w:val="Odstavecseseznamem"/>
        <w:numPr>
          <w:ilvl w:val="0"/>
          <w:numId w:val="39"/>
        </w:numPr>
        <w:spacing w:after="0"/>
        <w:jc w:val="both"/>
        <w:rPr>
          <w:rFonts w:cstheme="minorHAnsi"/>
          <w:color w:val="404040" w:themeColor="text1" w:themeTint="BF"/>
        </w:rPr>
      </w:pPr>
      <w:r w:rsidRPr="0023135E">
        <w:rPr>
          <w:rFonts w:cstheme="minorHAnsi"/>
          <w:color w:val="404040" w:themeColor="text1" w:themeTint="BF"/>
        </w:rPr>
        <w:t>Článek 8 (</w:t>
      </w:r>
      <w:r w:rsidRPr="0023135E">
        <w:rPr>
          <w:rFonts w:cstheme="minorHAnsi"/>
          <w:b/>
          <w:color w:val="404040" w:themeColor="text1" w:themeTint="BF"/>
        </w:rPr>
        <w:t>Veřejné zakázky v přeshraničních projektech společného zájmu</w:t>
      </w:r>
      <w:r w:rsidRPr="0023135E">
        <w:rPr>
          <w:rFonts w:cstheme="minorHAnsi"/>
          <w:color w:val="404040" w:themeColor="text1" w:themeTint="BF"/>
        </w:rPr>
        <w:t xml:space="preserve">) stanoví uplatňování pouze </w:t>
      </w:r>
      <w:r w:rsidRPr="0023135E">
        <w:rPr>
          <w:rFonts w:cstheme="minorHAnsi"/>
          <w:b/>
          <w:color w:val="404040" w:themeColor="text1" w:themeTint="BF"/>
        </w:rPr>
        <w:t>jednoho právního rámce pro zadávání veřejných zakázek u přeshraničních projektů</w:t>
      </w:r>
      <w:r w:rsidRPr="0023135E">
        <w:rPr>
          <w:rFonts w:cstheme="minorHAnsi"/>
          <w:color w:val="404040" w:themeColor="text1" w:themeTint="BF"/>
        </w:rPr>
        <w:t>. Není-li v mezivládní dohodě uvedeno jinak, společné subjekty rozvíjející tyto projekty budou při realizaci projektu uplatňovat jednotnou národní legislativu pro zadávání zakázek na stavební práce a služby.</w:t>
      </w:r>
    </w:p>
    <w:p w:rsidR="005942E7" w:rsidRPr="0023135E" w:rsidRDefault="005942E7" w:rsidP="00B6003D">
      <w:pPr>
        <w:pStyle w:val="Odstavecseseznamem"/>
        <w:numPr>
          <w:ilvl w:val="0"/>
          <w:numId w:val="39"/>
        </w:numPr>
        <w:spacing w:after="0"/>
        <w:jc w:val="both"/>
        <w:rPr>
          <w:rFonts w:cstheme="minorHAnsi"/>
          <w:color w:val="404040" w:themeColor="text1" w:themeTint="BF"/>
        </w:rPr>
      </w:pPr>
      <w:r w:rsidRPr="0023135E">
        <w:rPr>
          <w:rFonts w:cstheme="minorHAnsi"/>
          <w:color w:val="404040" w:themeColor="text1" w:themeTint="BF"/>
        </w:rPr>
        <w:t>Článek 9 (</w:t>
      </w:r>
      <w:r w:rsidRPr="0023135E">
        <w:rPr>
          <w:rFonts w:cstheme="minorHAnsi"/>
          <w:b/>
          <w:color w:val="404040" w:themeColor="text1" w:themeTint="BF"/>
        </w:rPr>
        <w:t>Technická pomoc</w:t>
      </w:r>
      <w:r w:rsidRPr="0023135E">
        <w:rPr>
          <w:rFonts w:cstheme="minorHAnsi"/>
          <w:color w:val="404040" w:themeColor="text1" w:themeTint="BF"/>
        </w:rPr>
        <w:t xml:space="preserve">) - Stávající </w:t>
      </w:r>
      <w:r w:rsidRPr="0023135E">
        <w:rPr>
          <w:rFonts w:cstheme="minorHAnsi"/>
          <w:b/>
          <w:color w:val="404040" w:themeColor="text1" w:themeTint="BF"/>
        </w:rPr>
        <w:t>systémy technické pomoci</w:t>
      </w:r>
      <w:r w:rsidRPr="0023135E">
        <w:rPr>
          <w:rFonts w:cstheme="minorHAnsi"/>
          <w:color w:val="404040" w:themeColor="text1" w:themeTint="BF"/>
        </w:rPr>
        <w:t xml:space="preserve"> založené na právních předpisech Unie </w:t>
      </w:r>
      <w:r w:rsidRPr="0023135E">
        <w:rPr>
          <w:rFonts w:cstheme="minorHAnsi"/>
          <w:b/>
          <w:color w:val="404040" w:themeColor="text1" w:themeTint="BF"/>
        </w:rPr>
        <w:t>budou otevřeny pro projekty společného zájmu</w:t>
      </w:r>
      <w:r w:rsidRPr="0023135E">
        <w:rPr>
          <w:rFonts w:cstheme="minorHAnsi"/>
          <w:color w:val="404040" w:themeColor="text1" w:themeTint="BF"/>
        </w:rPr>
        <w:t>, kterých se tato iniciativa týká, v závislosti na dostupnosti zdrojů spravovaných příslušnými útvary.</w:t>
      </w:r>
    </w:p>
    <w:p w:rsidR="005942E7" w:rsidRPr="0023135E" w:rsidRDefault="005942E7" w:rsidP="00B6003D">
      <w:pPr>
        <w:pStyle w:val="Odstavecseseznamem"/>
        <w:numPr>
          <w:ilvl w:val="0"/>
          <w:numId w:val="39"/>
        </w:numPr>
        <w:spacing w:after="0"/>
        <w:jc w:val="both"/>
        <w:rPr>
          <w:rFonts w:cstheme="minorHAnsi"/>
          <w:color w:val="404040" w:themeColor="text1" w:themeTint="BF"/>
        </w:rPr>
      </w:pPr>
      <w:r w:rsidRPr="0023135E">
        <w:rPr>
          <w:rFonts w:cstheme="minorHAnsi"/>
          <w:color w:val="404040" w:themeColor="text1" w:themeTint="BF"/>
        </w:rPr>
        <w:t>Článek 10 – 11 - Vstup v platnost se navrhuje 20. dnem po zveřejnění v Úředním věstníku EU. Projekty započaté před tímto datem se budou řídit stávající legislativou.</w:t>
      </w:r>
    </w:p>
    <w:p w:rsidR="005942E7" w:rsidRDefault="005942E7" w:rsidP="005942E7">
      <w:r>
        <w:br w:type="page"/>
      </w: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10" w:name="_Ref515184622"/>
      <w:r w:rsidRPr="00202254">
        <w:rPr>
          <w:rFonts w:ascii="Calibri" w:hAnsi="Calibri" w:cs="Calibri"/>
          <w:b/>
          <w:color w:val="404040" w:themeColor="text1" w:themeTint="BF"/>
        </w:rPr>
        <w:lastRenderedPageBreak/>
        <w:t>Hmotnosti a rozměry</w:t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  <w:bookmarkEnd w:id="10"/>
    </w:p>
    <w:p w:rsidR="005942E7" w:rsidRPr="006E5737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111" w:history="1">
        <w:r w:rsidR="005942E7" w:rsidRPr="006E5737">
          <w:rPr>
            <w:rStyle w:val="Hypertextovodkaz"/>
            <w:rFonts w:ascii="Calibri" w:hAnsi="Calibri" w:cs="Calibri"/>
            <w:b/>
            <w:sz w:val="20"/>
          </w:rPr>
          <w:t>Návrh Rozhodnutí, kterým se mění směrnice 96/53/ES, pokud jde o lhůtu pro provedení zvláštních pravidel týkajících se maximální délky v případě kabin poskytujících zlepšené aerodynamické vlastnosti, energetickou účinnost a bezpečnost</w:t>
        </w:r>
      </w:hyperlink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F1084A">
        <w:rPr>
          <w:rFonts w:cstheme="minorHAnsi"/>
          <w:color w:val="404040" w:themeColor="text1" w:themeTint="BF"/>
        </w:rPr>
        <w:t>Vzhledem k současné situaci a k tomu, že emise 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F1084A">
        <w:rPr>
          <w:rFonts w:cstheme="minorHAnsi"/>
          <w:color w:val="404040" w:themeColor="text1" w:themeTint="BF"/>
        </w:rPr>
        <w:t xml:space="preserve"> z</w:t>
      </w:r>
      <w:r>
        <w:rPr>
          <w:rFonts w:cstheme="minorHAnsi"/>
          <w:color w:val="404040" w:themeColor="text1" w:themeTint="BF"/>
        </w:rPr>
        <w:t>e</w:t>
      </w:r>
      <w:r w:rsidRPr="00F1084A">
        <w:rPr>
          <w:rFonts w:cstheme="minorHAnsi"/>
          <w:color w:val="404040" w:themeColor="text1" w:themeTint="BF"/>
        </w:rPr>
        <w:t xml:space="preserve"> silniční dopravy představují čtvrtinu všech emisí 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F1084A">
        <w:rPr>
          <w:rFonts w:cstheme="minorHAnsi"/>
          <w:color w:val="404040" w:themeColor="text1" w:themeTint="BF"/>
        </w:rPr>
        <w:t xml:space="preserve"> v</w:t>
      </w:r>
      <w:r>
        <w:rPr>
          <w:rFonts w:cstheme="minorHAnsi"/>
          <w:color w:val="404040" w:themeColor="text1" w:themeTint="BF"/>
        </w:rPr>
        <w:t> </w:t>
      </w:r>
      <w:r w:rsidRPr="00F1084A">
        <w:rPr>
          <w:rFonts w:cstheme="minorHAnsi"/>
          <w:color w:val="404040" w:themeColor="text1" w:themeTint="BF"/>
        </w:rPr>
        <w:t>EU a předpokl</w:t>
      </w:r>
      <w:r>
        <w:rPr>
          <w:rFonts w:cstheme="minorHAnsi"/>
          <w:color w:val="404040" w:themeColor="text1" w:themeTint="BF"/>
        </w:rPr>
        <w:t>adu</w:t>
      </w:r>
      <w:r w:rsidRPr="00F1084A">
        <w:rPr>
          <w:rFonts w:cstheme="minorHAnsi"/>
          <w:color w:val="404040" w:themeColor="text1" w:themeTint="BF"/>
        </w:rPr>
        <w:t xml:space="preserve">, že v období 2015-2030 </w:t>
      </w:r>
      <w:r>
        <w:rPr>
          <w:rFonts w:cstheme="minorHAnsi"/>
          <w:color w:val="404040" w:themeColor="text1" w:themeTint="BF"/>
        </w:rPr>
        <w:t>porostou</w:t>
      </w:r>
      <w:r w:rsidRPr="00F1084A">
        <w:rPr>
          <w:rFonts w:cstheme="minorHAnsi"/>
          <w:color w:val="404040" w:themeColor="text1" w:themeTint="BF"/>
        </w:rPr>
        <w:t xml:space="preserve"> emis</w:t>
      </w:r>
      <w:r>
        <w:rPr>
          <w:rFonts w:cstheme="minorHAnsi"/>
          <w:color w:val="404040" w:themeColor="text1" w:themeTint="BF"/>
        </w:rPr>
        <w:t>e</w:t>
      </w:r>
      <w:r w:rsidRPr="00F1084A">
        <w:rPr>
          <w:rFonts w:cstheme="minorHAnsi"/>
          <w:color w:val="404040" w:themeColor="text1" w:themeTint="BF"/>
        </w:rPr>
        <w:t xml:space="preserve"> z</w:t>
      </w:r>
      <w:r>
        <w:rPr>
          <w:rFonts w:cstheme="minorHAnsi"/>
          <w:color w:val="404040" w:themeColor="text1" w:themeTint="BF"/>
        </w:rPr>
        <w:t>e</w:t>
      </w:r>
      <w:r w:rsidRPr="00F1084A">
        <w:rPr>
          <w:rFonts w:cstheme="minorHAnsi"/>
          <w:color w:val="404040" w:themeColor="text1" w:themeTint="BF"/>
        </w:rPr>
        <w:t xml:space="preserve"> silniční dopravy o 6</w:t>
      </w:r>
      <w:r>
        <w:rPr>
          <w:rFonts w:cstheme="minorHAnsi"/>
          <w:color w:val="404040" w:themeColor="text1" w:themeTint="BF"/>
        </w:rPr>
        <w:t xml:space="preserve"> </w:t>
      </w:r>
      <w:r w:rsidRPr="00F1084A">
        <w:rPr>
          <w:rFonts w:cstheme="minorHAnsi"/>
          <w:color w:val="404040" w:themeColor="text1" w:themeTint="BF"/>
        </w:rPr>
        <w:t xml:space="preserve">%, </w:t>
      </w:r>
      <w:r>
        <w:rPr>
          <w:rFonts w:cstheme="minorHAnsi"/>
          <w:color w:val="404040" w:themeColor="text1" w:themeTint="BF"/>
        </w:rPr>
        <w:t xml:space="preserve">by dle </w:t>
      </w:r>
      <w:r w:rsidRPr="00F1084A">
        <w:rPr>
          <w:rFonts w:cstheme="minorHAnsi"/>
          <w:color w:val="404040" w:themeColor="text1" w:themeTint="BF"/>
        </w:rPr>
        <w:t xml:space="preserve">Komise </w:t>
      </w:r>
      <w:r>
        <w:rPr>
          <w:rFonts w:cstheme="minorHAnsi"/>
          <w:color w:val="404040" w:themeColor="text1" w:themeTint="BF"/>
        </w:rPr>
        <w:t xml:space="preserve">mělo být </w:t>
      </w:r>
      <w:r w:rsidRPr="009A35E0">
        <w:rPr>
          <w:rFonts w:cstheme="minorHAnsi"/>
          <w:b/>
          <w:color w:val="404040" w:themeColor="text1" w:themeTint="BF"/>
        </w:rPr>
        <w:t>přínosů prodloužených kabin využito co nejrychleji</w:t>
      </w:r>
      <w:r w:rsidRPr="00F1084A">
        <w:rPr>
          <w:rFonts w:cstheme="minorHAnsi"/>
          <w:color w:val="404040" w:themeColor="text1" w:themeTint="BF"/>
        </w:rPr>
        <w:t>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754BAD">
        <w:rPr>
          <w:rFonts w:cstheme="minorHAnsi"/>
          <w:b/>
          <w:color w:val="404040" w:themeColor="text1" w:themeTint="BF"/>
        </w:rPr>
        <w:t>Moratorium</w:t>
      </w:r>
      <w:r w:rsidRPr="00B648FD">
        <w:rPr>
          <w:rFonts w:cstheme="minorHAnsi"/>
          <w:color w:val="404040" w:themeColor="text1" w:themeTint="BF"/>
        </w:rPr>
        <w:t xml:space="preserve">, které je součástí stávající legislativy, však znemožňuje výrobcům zlepšit aerodynamiku kabin </w:t>
      </w:r>
      <w:r>
        <w:rPr>
          <w:rFonts w:cstheme="minorHAnsi"/>
          <w:color w:val="404040" w:themeColor="text1" w:themeTint="BF"/>
        </w:rPr>
        <w:t>za účelem dosažení</w:t>
      </w:r>
      <w:r w:rsidRPr="00B648FD">
        <w:rPr>
          <w:rFonts w:cstheme="minorHAnsi"/>
          <w:color w:val="404040" w:themeColor="text1" w:themeTint="BF"/>
        </w:rPr>
        <w:t xml:space="preserve"> souladu s nadcházejícími emisemi 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B648FD">
        <w:rPr>
          <w:rFonts w:cstheme="minorHAnsi"/>
          <w:color w:val="404040" w:themeColor="text1" w:themeTint="BF"/>
        </w:rPr>
        <w:t xml:space="preserve"> pro těžká nákladní vozidla</w:t>
      </w:r>
      <w:r>
        <w:rPr>
          <w:rFonts w:cstheme="minorHAnsi"/>
          <w:color w:val="404040" w:themeColor="text1" w:themeTint="BF"/>
        </w:rPr>
        <w:t xml:space="preserve"> HGV</w:t>
      </w:r>
      <w:r w:rsidRPr="00B648FD">
        <w:rPr>
          <w:rFonts w:cstheme="minorHAnsi"/>
          <w:color w:val="404040" w:themeColor="text1" w:themeTint="BF"/>
        </w:rPr>
        <w:t>. Moratorium je navíc v rozporu s inovačním principem a zásadami lepší právní úpravy, neboť brání vývoji nových technologií a</w:t>
      </w:r>
      <w:r>
        <w:rPr>
          <w:rFonts w:cstheme="minorHAnsi"/>
          <w:color w:val="404040" w:themeColor="text1" w:themeTint="BF"/>
        </w:rPr>
        <w:t> </w:t>
      </w:r>
      <w:r w:rsidRPr="00B648FD">
        <w:rPr>
          <w:rFonts w:cstheme="minorHAnsi"/>
          <w:color w:val="404040" w:themeColor="text1" w:themeTint="BF"/>
        </w:rPr>
        <w:t>koncepcí.</w:t>
      </w:r>
      <w:r>
        <w:rPr>
          <w:rFonts w:cstheme="minorHAnsi"/>
          <w:color w:val="404040" w:themeColor="text1" w:themeTint="BF"/>
        </w:rPr>
        <w:t xml:space="preserve"> </w:t>
      </w:r>
      <w:r w:rsidRPr="009A35E0">
        <w:rPr>
          <w:rFonts w:cstheme="minorHAnsi"/>
          <w:b/>
          <w:color w:val="404040" w:themeColor="text1" w:themeTint="BF"/>
        </w:rPr>
        <w:t>Komise proto navrhuje zkrátit lhůtu pro provedení čl. 9a odst. 1 směrnice 95/53/ES</w:t>
      </w:r>
      <w:r w:rsidRPr="00B648FD">
        <w:rPr>
          <w:rFonts w:cstheme="minorHAnsi"/>
          <w:color w:val="404040" w:themeColor="text1" w:themeTint="BF"/>
        </w:rPr>
        <w:t xml:space="preserve">. </w:t>
      </w:r>
      <w:r>
        <w:rPr>
          <w:rFonts w:cstheme="minorHAnsi"/>
          <w:color w:val="404040" w:themeColor="text1" w:themeTint="BF"/>
        </w:rPr>
        <w:t>N</w:t>
      </w:r>
      <w:r w:rsidRPr="00B648FD">
        <w:rPr>
          <w:rFonts w:cstheme="minorHAnsi"/>
          <w:color w:val="404040" w:themeColor="text1" w:themeTint="BF"/>
        </w:rPr>
        <w:t>ové znění</w:t>
      </w:r>
      <w:r>
        <w:rPr>
          <w:rFonts w:cstheme="minorHAnsi"/>
          <w:color w:val="404040" w:themeColor="text1" w:themeTint="BF"/>
        </w:rPr>
        <w:t xml:space="preserve"> </w:t>
      </w:r>
      <w:r w:rsidRPr="00B648FD">
        <w:rPr>
          <w:rFonts w:cstheme="minorHAnsi"/>
          <w:color w:val="404040" w:themeColor="text1" w:themeTint="BF"/>
        </w:rPr>
        <w:t xml:space="preserve">čl. 9a odst. </w:t>
      </w:r>
      <w:r>
        <w:rPr>
          <w:rFonts w:cstheme="minorHAnsi"/>
          <w:color w:val="404040" w:themeColor="text1" w:themeTint="BF"/>
        </w:rPr>
        <w:t>3 by ponechal členským státům dostatečný čas pro přijetí nutných kroků.</w:t>
      </w:r>
    </w:p>
    <w:p w:rsidR="005942E7" w:rsidRDefault="005942E7" w:rsidP="005942E7"/>
    <w:p w:rsidR="005942E7" w:rsidRDefault="005942E7" w:rsidP="005942E7"/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11" w:name="_Ref515184645"/>
      <w:r w:rsidRPr="00202254">
        <w:rPr>
          <w:rFonts w:ascii="Calibri" w:hAnsi="Calibri" w:cs="Calibri"/>
          <w:b/>
          <w:color w:val="404040" w:themeColor="text1" w:themeTint="BF"/>
        </w:rPr>
        <w:t>Srovnání cen pohonných hmot</w:t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  <w:bookmarkEnd w:id="11"/>
    </w:p>
    <w:p w:rsidR="005942E7" w:rsidRPr="009A35E0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112" w:history="1">
        <w:r w:rsidR="005942E7" w:rsidRPr="009A35E0">
          <w:rPr>
            <w:rStyle w:val="Hypertextovodkaz"/>
            <w:rFonts w:ascii="Calibri" w:hAnsi="Calibri" w:cs="Calibri"/>
            <w:b/>
            <w:sz w:val="20"/>
          </w:rPr>
          <w:t>Prováděcí nařízení Komise o společné metodice pro porovnávání jednotkových cen alternativních paliv</w:t>
        </w:r>
      </w:hyperlink>
    </w:p>
    <w:p w:rsidR="005942E7" w:rsidRPr="009A35E0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113" w:history="1">
        <w:r w:rsidR="005942E7" w:rsidRPr="009A35E0">
          <w:rPr>
            <w:rStyle w:val="Hypertextovodkaz"/>
            <w:rFonts w:ascii="Calibri" w:hAnsi="Calibri" w:cs="Calibri"/>
            <w:sz w:val="20"/>
          </w:rPr>
          <w:t>Příloha</w:t>
        </w:r>
      </w:hyperlink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0F4969">
        <w:rPr>
          <w:rFonts w:cstheme="minorHAnsi"/>
          <w:color w:val="404040" w:themeColor="text1" w:themeTint="BF"/>
        </w:rPr>
        <w:t>V této studii byly analyzovány čtyři hlavní možnosti</w:t>
      </w:r>
      <w:r>
        <w:rPr>
          <w:rFonts w:cstheme="minorHAnsi"/>
          <w:color w:val="404040" w:themeColor="text1" w:themeTint="BF"/>
        </w:rPr>
        <w:t>, které</w:t>
      </w:r>
      <w:r w:rsidRPr="000F4969">
        <w:rPr>
          <w:rFonts w:cstheme="minorHAnsi"/>
          <w:color w:val="404040" w:themeColor="text1" w:themeTint="BF"/>
        </w:rPr>
        <w:t xml:space="preserve"> Komise zvážila. </w:t>
      </w:r>
      <w:r w:rsidRPr="009A35E0">
        <w:rPr>
          <w:rFonts w:cstheme="minorHAnsi"/>
          <w:b/>
          <w:color w:val="404040" w:themeColor="text1" w:themeTint="BF"/>
        </w:rPr>
        <w:t>Možnost, podle níž jsou ceny pohonných hmot vyjádřeny jako částky příslušné měny na 100 km</w:t>
      </w:r>
      <w:r w:rsidRPr="000F4969">
        <w:rPr>
          <w:rFonts w:cstheme="minorHAnsi"/>
          <w:color w:val="404040" w:themeColor="text1" w:themeTint="BF"/>
        </w:rPr>
        <w:t xml:space="preserve">, s přihlédnutím k ceně paliva na jednotku, jak je uvedeno ve směrnici </w:t>
      </w:r>
      <w:r>
        <w:rPr>
          <w:rFonts w:cstheme="minorHAnsi"/>
          <w:color w:val="404040" w:themeColor="text1" w:themeTint="BF"/>
        </w:rPr>
        <w:t>EP</w:t>
      </w:r>
      <w:r w:rsidRPr="000F4969">
        <w:rPr>
          <w:rFonts w:cstheme="minorHAnsi"/>
          <w:color w:val="404040" w:themeColor="text1" w:themeTint="BF"/>
        </w:rPr>
        <w:t xml:space="preserve"> a Rady 98/6/ES</w:t>
      </w:r>
      <w:r>
        <w:rPr>
          <w:rFonts w:cstheme="minorHAnsi"/>
          <w:color w:val="404040" w:themeColor="text1" w:themeTint="BF"/>
        </w:rPr>
        <w:t>,</w:t>
      </w:r>
      <w:r w:rsidRPr="000F4969">
        <w:rPr>
          <w:rFonts w:cstheme="minorHAnsi"/>
          <w:color w:val="404040" w:themeColor="text1" w:themeTint="BF"/>
        </w:rPr>
        <w:t xml:space="preserve"> a </w:t>
      </w:r>
      <w:r>
        <w:rPr>
          <w:rFonts w:cstheme="minorHAnsi"/>
          <w:color w:val="404040" w:themeColor="text1" w:themeTint="BF"/>
        </w:rPr>
        <w:t xml:space="preserve">ke </w:t>
      </w:r>
      <w:r w:rsidRPr="000F4969">
        <w:rPr>
          <w:rFonts w:cstheme="minorHAnsi"/>
          <w:color w:val="404040" w:themeColor="text1" w:themeTint="BF"/>
        </w:rPr>
        <w:t>spotřeb</w:t>
      </w:r>
      <w:r>
        <w:rPr>
          <w:rFonts w:cstheme="minorHAnsi"/>
          <w:color w:val="404040" w:themeColor="text1" w:themeTint="BF"/>
        </w:rPr>
        <w:t>ě</w:t>
      </w:r>
      <w:r w:rsidRPr="000F4969">
        <w:rPr>
          <w:rFonts w:cstheme="minorHAnsi"/>
          <w:color w:val="404040" w:themeColor="text1" w:themeTint="BF"/>
        </w:rPr>
        <w:t xml:space="preserve"> vozidel uveden</w:t>
      </w:r>
      <w:r>
        <w:rPr>
          <w:rFonts w:cstheme="minorHAnsi"/>
          <w:color w:val="404040" w:themeColor="text1" w:themeTint="BF"/>
        </w:rPr>
        <w:t>ých</w:t>
      </w:r>
      <w:r w:rsidRPr="000F4969">
        <w:rPr>
          <w:rFonts w:cstheme="minorHAnsi"/>
          <w:color w:val="404040" w:themeColor="text1" w:themeTint="BF"/>
        </w:rPr>
        <w:t xml:space="preserve"> v</w:t>
      </w:r>
      <w:r>
        <w:rPr>
          <w:rFonts w:cstheme="minorHAnsi"/>
          <w:color w:val="404040" w:themeColor="text1" w:themeTint="BF"/>
        </w:rPr>
        <w:t> osvědčení o </w:t>
      </w:r>
      <w:r w:rsidRPr="000F4969">
        <w:rPr>
          <w:rFonts w:cstheme="minorHAnsi"/>
          <w:color w:val="404040" w:themeColor="text1" w:themeTint="BF"/>
        </w:rPr>
        <w:t>shod</w:t>
      </w:r>
      <w:r>
        <w:rPr>
          <w:rFonts w:cstheme="minorHAnsi"/>
          <w:color w:val="404040" w:themeColor="text1" w:themeTint="BF"/>
        </w:rPr>
        <w:t>ě</w:t>
      </w:r>
      <w:r w:rsidRPr="000F4969">
        <w:rPr>
          <w:rFonts w:cstheme="minorHAnsi"/>
          <w:color w:val="404040" w:themeColor="text1" w:themeTint="BF"/>
        </w:rPr>
        <w:t xml:space="preserve"> </w:t>
      </w:r>
      <w:r w:rsidRPr="009A35E0">
        <w:rPr>
          <w:rFonts w:cstheme="minorHAnsi"/>
          <w:b/>
          <w:color w:val="404040" w:themeColor="text1" w:themeTint="BF"/>
        </w:rPr>
        <w:t xml:space="preserve">se zdá být nejkomplexnější a založená na měřitelných </w:t>
      </w:r>
      <w:r>
        <w:rPr>
          <w:rFonts w:cstheme="minorHAnsi"/>
          <w:b/>
          <w:color w:val="404040" w:themeColor="text1" w:themeTint="BF"/>
        </w:rPr>
        <w:t>datech</w:t>
      </w:r>
      <w:r w:rsidRPr="000F4969">
        <w:rPr>
          <w:rFonts w:cstheme="minorHAnsi"/>
          <w:color w:val="404040" w:themeColor="text1" w:themeTint="BF"/>
        </w:rPr>
        <w:t xml:space="preserve">. </w:t>
      </w:r>
      <w:r>
        <w:rPr>
          <w:rFonts w:cstheme="minorHAnsi"/>
          <w:color w:val="404040" w:themeColor="text1" w:themeTint="BF"/>
        </w:rPr>
        <w:t>M</w:t>
      </w:r>
      <w:r w:rsidRPr="000F4969">
        <w:rPr>
          <w:rFonts w:cstheme="minorHAnsi"/>
          <w:color w:val="404040" w:themeColor="text1" w:themeTint="BF"/>
        </w:rPr>
        <w:t xml:space="preserve">ožnost bere v úvahu nejen energetický obsah paliva, ale také další faktory, které se týkají ceny paliva </w:t>
      </w:r>
      <w:r>
        <w:rPr>
          <w:rFonts w:cstheme="minorHAnsi"/>
          <w:color w:val="404040" w:themeColor="text1" w:themeTint="BF"/>
        </w:rPr>
        <w:t>z</w:t>
      </w:r>
      <w:r w:rsidRPr="000F4969">
        <w:rPr>
          <w:rFonts w:cstheme="minorHAnsi"/>
          <w:color w:val="404040" w:themeColor="text1" w:themeTint="BF"/>
        </w:rPr>
        <w:t>a příslušnou vzdálenost, zejména energetickou účinnost příslušných technologií spojených s používáním různých paliv ve vozidlech.</w:t>
      </w:r>
      <w:r>
        <w:rPr>
          <w:rFonts w:cstheme="minorHAnsi"/>
          <w:color w:val="404040" w:themeColor="text1" w:themeTint="BF"/>
        </w:rPr>
        <w:t xml:space="preserve"> Spotřeba je na základě nové metodologie WLTP. Výpočet je stanoven přílohou.</w:t>
      </w:r>
    </w:p>
    <w:p w:rsidR="005942E7" w:rsidRDefault="005942E7" w:rsidP="005942E7">
      <w:pPr>
        <w:tabs>
          <w:tab w:val="left" w:pos="3804"/>
        </w:tabs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ab/>
      </w:r>
    </w:p>
    <w:p w:rsidR="005942E7" w:rsidRPr="008E5A94" w:rsidRDefault="005942E7" w:rsidP="005942E7">
      <w:pPr>
        <w:tabs>
          <w:tab w:val="left" w:pos="3804"/>
        </w:tabs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8E5A94">
        <w:rPr>
          <w:rFonts w:cstheme="minorHAnsi"/>
          <w:b/>
          <w:color w:val="404040" w:themeColor="text1" w:themeTint="BF"/>
          <w:u w:val="single"/>
        </w:rPr>
        <w:t>Příloha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 xml:space="preserve">Bod </w:t>
      </w:r>
      <w:r w:rsidRPr="008C5B4C">
        <w:rPr>
          <w:rFonts w:cstheme="minorHAnsi"/>
          <w:b/>
          <w:color w:val="404040" w:themeColor="text1" w:themeTint="BF"/>
        </w:rPr>
        <w:t>3)</w:t>
      </w:r>
      <w:r>
        <w:rPr>
          <w:rFonts w:cstheme="minorHAnsi"/>
          <w:color w:val="404040" w:themeColor="text1" w:themeTint="BF"/>
        </w:rPr>
        <w:t xml:space="preserve"> </w:t>
      </w:r>
      <w:r w:rsidRPr="008E5A94">
        <w:rPr>
          <w:rFonts w:cstheme="minorHAnsi"/>
          <w:color w:val="404040" w:themeColor="text1" w:themeTint="BF"/>
        </w:rPr>
        <w:t>Metodika definuje jak</w:t>
      </w:r>
      <w:r>
        <w:rPr>
          <w:rFonts w:cstheme="minorHAnsi"/>
          <w:color w:val="404040" w:themeColor="text1" w:themeTint="BF"/>
        </w:rPr>
        <w:t xml:space="preserve"> (</w:t>
      </w:r>
      <w:r w:rsidRPr="008E5A94">
        <w:rPr>
          <w:rFonts w:cstheme="minorHAnsi"/>
          <w:color w:val="404040" w:themeColor="text1" w:themeTint="BF"/>
        </w:rPr>
        <w:t>pro účely tohoto srovnání</w:t>
      </w:r>
      <w:r>
        <w:rPr>
          <w:rFonts w:cstheme="minorHAnsi"/>
          <w:color w:val="404040" w:themeColor="text1" w:themeTint="BF"/>
        </w:rPr>
        <w:t>)</w:t>
      </w:r>
      <w:r w:rsidRPr="008E5A94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jsou </w:t>
      </w:r>
      <w:r w:rsidRPr="008E5A94">
        <w:rPr>
          <w:rFonts w:cstheme="minorHAnsi"/>
          <w:color w:val="404040" w:themeColor="text1" w:themeTint="BF"/>
        </w:rPr>
        <w:t>ceny benzinu</w:t>
      </w:r>
      <w:r>
        <w:rPr>
          <w:rFonts w:cstheme="minorHAnsi"/>
          <w:color w:val="404040" w:themeColor="text1" w:themeTint="BF"/>
        </w:rPr>
        <w:t xml:space="preserve"> </w:t>
      </w:r>
      <w:r w:rsidRPr="008E5A94">
        <w:rPr>
          <w:rFonts w:cstheme="minorHAnsi"/>
          <w:color w:val="404040" w:themeColor="text1" w:themeTint="BF"/>
        </w:rPr>
        <w:t>a motorov</w:t>
      </w:r>
      <w:r>
        <w:rPr>
          <w:rFonts w:cstheme="minorHAnsi"/>
          <w:color w:val="404040" w:themeColor="text1" w:themeTint="BF"/>
        </w:rPr>
        <w:t>é</w:t>
      </w:r>
      <w:r w:rsidRPr="008E5A94">
        <w:rPr>
          <w:rFonts w:cstheme="minorHAnsi"/>
          <w:color w:val="404040" w:themeColor="text1" w:themeTint="BF"/>
        </w:rPr>
        <w:t xml:space="preserve"> naft</w:t>
      </w:r>
      <w:r>
        <w:rPr>
          <w:rFonts w:cstheme="minorHAnsi"/>
          <w:color w:val="404040" w:themeColor="text1" w:themeTint="BF"/>
        </w:rPr>
        <w:t>y</w:t>
      </w:r>
      <w:r w:rsidRPr="008E5A94">
        <w:rPr>
          <w:rFonts w:cstheme="minorHAnsi"/>
          <w:color w:val="404040" w:themeColor="text1" w:themeTint="BF"/>
        </w:rPr>
        <w:t xml:space="preserve"> a alternativní</w:t>
      </w:r>
      <w:r>
        <w:rPr>
          <w:rFonts w:cstheme="minorHAnsi"/>
          <w:color w:val="404040" w:themeColor="text1" w:themeTint="BF"/>
        </w:rPr>
        <w:t>ch</w:t>
      </w:r>
      <w:r w:rsidRPr="008E5A94">
        <w:rPr>
          <w:rFonts w:cstheme="minorHAnsi"/>
          <w:color w:val="404040" w:themeColor="text1" w:themeTint="BF"/>
        </w:rPr>
        <w:t xml:space="preserve"> paliv vyjádřeny jako částky příslušné měny na</w:t>
      </w:r>
      <w:r>
        <w:rPr>
          <w:rFonts w:cstheme="minorHAnsi"/>
          <w:color w:val="404040" w:themeColor="text1" w:themeTint="BF"/>
        </w:rPr>
        <w:t xml:space="preserve"> </w:t>
      </w:r>
      <w:r w:rsidRPr="008E5A94">
        <w:rPr>
          <w:rFonts w:cstheme="minorHAnsi"/>
          <w:color w:val="404040" w:themeColor="text1" w:themeTint="BF"/>
        </w:rPr>
        <w:t>100 km.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8E5A94">
        <w:rPr>
          <w:rFonts w:cstheme="minorHAnsi"/>
          <w:color w:val="404040" w:themeColor="text1" w:themeTint="BF"/>
        </w:rPr>
        <w:t>Výpočet vychází z následujících faktorů</w:t>
      </w:r>
      <w:r>
        <w:rPr>
          <w:rFonts w:cstheme="minorHAnsi"/>
          <w:color w:val="404040" w:themeColor="text1" w:themeTint="BF"/>
        </w:rPr>
        <w:t>: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8E5A94">
        <w:rPr>
          <w:rFonts w:cstheme="minorHAnsi"/>
          <w:color w:val="404040" w:themeColor="text1" w:themeTint="BF"/>
        </w:rPr>
        <w:t xml:space="preserve">a) spotřeba paliva příslušného vozidla na 100 km </w:t>
      </w:r>
      <w:r>
        <w:rPr>
          <w:rFonts w:cstheme="minorHAnsi"/>
          <w:color w:val="404040" w:themeColor="text1" w:themeTint="BF"/>
        </w:rPr>
        <w:t>zapsaná</w:t>
      </w:r>
      <w:r w:rsidRPr="008E5A94">
        <w:rPr>
          <w:rFonts w:cstheme="minorHAnsi"/>
          <w:color w:val="404040" w:themeColor="text1" w:themeTint="BF"/>
        </w:rPr>
        <w:t xml:space="preserve"> v</w:t>
      </w:r>
      <w:r>
        <w:rPr>
          <w:rFonts w:cstheme="minorHAnsi"/>
          <w:color w:val="404040" w:themeColor="text1" w:themeTint="BF"/>
        </w:rPr>
        <w:t> prohlášení</w:t>
      </w:r>
      <w:r w:rsidRPr="008E5A94">
        <w:rPr>
          <w:rFonts w:cstheme="minorHAnsi"/>
          <w:color w:val="404040" w:themeColor="text1" w:themeTint="BF"/>
        </w:rPr>
        <w:t xml:space="preserve"> o shodě vozidel uvedené</w:t>
      </w:r>
      <w:r>
        <w:rPr>
          <w:rFonts w:cstheme="minorHAnsi"/>
          <w:color w:val="404040" w:themeColor="text1" w:themeTint="BF"/>
        </w:rPr>
        <w:t>ho</w:t>
      </w:r>
      <w:r w:rsidRPr="008E5A94">
        <w:rPr>
          <w:rFonts w:cstheme="minorHAnsi"/>
          <w:color w:val="404040" w:themeColor="text1" w:themeTint="BF"/>
        </w:rPr>
        <w:t xml:space="preserve"> v článku 18 směrnice</w:t>
      </w:r>
      <w:r>
        <w:rPr>
          <w:rFonts w:cstheme="minorHAnsi"/>
          <w:color w:val="404040" w:themeColor="text1" w:themeTint="BF"/>
        </w:rPr>
        <w:t xml:space="preserve"> </w:t>
      </w:r>
      <w:r w:rsidRPr="008E5A94">
        <w:rPr>
          <w:rFonts w:cstheme="minorHAnsi"/>
          <w:color w:val="404040" w:themeColor="text1" w:themeTint="BF"/>
        </w:rPr>
        <w:t>2007/46/ES;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8E5A94">
        <w:rPr>
          <w:rFonts w:cstheme="minorHAnsi"/>
          <w:color w:val="404040" w:themeColor="text1" w:themeTint="BF"/>
        </w:rPr>
        <w:t xml:space="preserve">b) </w:t>
      </w:r>
      <w:r w:rsidRPr="00A418B2">
        <w:rPr>
          <w:rFonts w:cstheme="minorHAnsi"/>
          <w:color w:val="404040" w:themeColor="text1" w:themeTint="BF"/>
        </w:rPr>
        <w:t>případně hodnoty spotřeby paliva na 100 km určené členskými státy pro biopaliv</w:t>
      </w:r>
      <w:r>
        <w:rPr>
          <w:rFonts w:cstheme="minorHAnsi"/>
          <w:color w:val="404040" w:themeColor="text1" w:themeTint="BF"/>
        </w:rPr>
        <w:t xml:space="preserve">a míchaná </w:t>
      </w:r>
      <w:r w:rsidRPr="00A418B2">
        <w:rPr>
          <w:rFonts w:cstheme="minorHAnsi"/>
          <w:color w:val="404040" w:themeColor="text1" w:themeTint="BF"/>
        </w:rPr>
        <w:t>s benzínem nebo motorovou naftou;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A418B2">
        <w:rPr>
          <w:rFonts w:cstheme="minorHAnsi"/>
          <w:color w:val="404040" w:themeColor="text1" w:themeTint="BF"/>
        </w:rPr>
        <w:t>c) tržní ceny za jednotku příslušných paliv vyjádřen</w:t>
      </w:r>
      <w:r>
        <w:rPr>
          <w:rFonts w:cstheme="minorHAnsi"/>
          <w:color w:val="404040" w:themeColor="text1" w:themeTint="BF"/>
        </w:rPr>
        <w:t>é</w:t>
      </w:r>
      <w:r w:rsidRPr="00A418B2">
        <w:rPr>
          <w:rFonts w:cstheme="minorHAnsi"/>
          <w:color w:val="404040" w:themeColor="text1" w:themeTint="BF"/>
        </w:rPr>
        <w:t xml:space="preserve"> v příslušné měně pro jednotky uvedené v dotčeném členském státě v souladu se směrnicí 98/6/ES (dále jen "konvenční jednotky").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A418B2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 xml:space="preserve">Bod </w:t>
      </w:r>
      <w:r w:rsidRPr="008C5B4C">
        <w:rPr>
          <w:rFonts w:cstheme="minorHAnsi"/>
          <w:b/>
          <w:color w:val="404040" w:themeColor="text1" w:themeTint="BF"/>
        </w:rPr>
        <w:t>4)</w:t>
      </w:r>
      <w:r>
        <w:rPr>
          <w:rFonts w:cstheme="minorHAnsi"/>
          <w:color w:val="404040" w:themeColor="text1" w:themeTint="BF"/>
        </w:rPr>
        <w:t xml:space="preserve"> </w:t>
      </w:r>
      <w:r w:rsidRPr="00A418B2">
        <w:rPr>
          <w:rFonts w:cstheme="minorHAnsi"/>
          <w:color w:val="404040" w:themeColor="text1" w:themeTint="BF"/>
        </w:rPr>
        <w:t xml:space="preserve">Cena vyjádřená jako částka příslušné měny na 100 km se vypočte </w:t>
      </w:r>
      <w:r>
        <w:rPr>
          <w:rFonts w:cstheme="minorHAnsi"/>
          <w:color w:val="404040" w:themeColor="text1" w:themeTint="BF"/>
        </w:rPr>
        <w:t>takto</w:t>
      </w:r>
      <w:r w:rsidRPr="00A418B2">
        <w:rPr>
          <w:rFonts w:cstheme="minorHAnsi"/>
          <w:color w:val="404040" w:themeColor="text1" w:themeTint="BF"/>
        </w:rPr>
        <w:t>: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A418B2">
        <w:rPr>
          <w:rFonts w:cstheme="minorHAnsi"/>
          <w:color w:val="404040" w:themeColor="text1" w:themeTint="BF"/>
        </w:rPr>
        <w:t xml:space="preserve">Cena paliva v příslušné měně za konvenční jednotku </w:t>
      </w:r>
      <w:r>
        <w:rPr>
          <w:rFonts w:cstheme="minorHAnsi"/>
          <w:color w:val="404040" w:themeColor="text1" w:themeTint="BF"/>
        </w:rPr>
        <w:t>×</w:t>
      </w:r>
      <w:r w:rsidRPr="00A418B2">
        <w:rPr>
          <w:rFonts w:cstheme="minorHAnsi"/>
          <w:color w:val="404040" w:themeColor="text1" w:themeTint="BF"/>
        </w:rPr>
        <w:t xml:space="preserve"> spotřeba paliva na 100</w:t>
      </w:r>
      <w:r>
        <w:rPr>
          <w:rFonts w:cstheme="minorHAnsi"/>
          <w:color w:val="404040" w:themeColor="text1" w:themeTint="BF"/>
        </w:rPr>
        <w:t xml:space="preserve"> </w:t>
      </w:r>
      <w:r w:rsidRPr="00A418B2">
        <w:rPr>
          <w:rFonts w:cstheme="minorHAnsi"/>
          <w:color w:val="404040" w:themeColor="text1" w:themeTint="BF"/>
        </w:rPr>
        <w:t>km.</w:t>
      </w:r>
    </w:p>
    <w:p w:rsidR="005942E7" w:rsidRPr="00A418B2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lastRenderedPageBreak/>
        <w:t xml:space="preserve">Bod </w:t>
      </w:r>
      <w:r w:rsidRPr="008C5B4C">
        <w:rPr>
          <w:rFonts w:cstheme="minorHAnsi"/>
          <w:b/>
          <w:color w:val="404040" w:themeColor="text1" w:themeTint="BF"/>
        </w:rPr>
        <w:t>5)</w:t>
      </w:r>
      <w:r w:rsidRPr="00A418B2">
        <w:rPr>
          <w:rFonts w:cstheme="minorHAnsi"/>
          <w:color w:val="404040" w:themeColor="text1" w:themeTint="BF"/>
        </w:rPr>
        <w:t xml:space="preserve"> Cena paliv v konvenčních jednotkách, která byla vzata v úvahu, je průměrná cena </w:t>
      </w:r>
      <w:r>
        <w:rPr>
          <w:rFonts w:cstheme="minorHAnsi"/>
          <w:color w:val="404040" w:themeColor="text1" w:themeTint="BF"/>
        </w:rPr>
        <w:t xml:space="preserve">během </w:t>
      </w:r>
      <w:r w:rsidRPr="00A418B2">
        <w:rPr>
          <w:rFonts w:cstheme="minorHAnsi"/>
          <w:color w:val="404040" w:themeColor="text1" w:themeTint="BF"/>
        </w:rPr>
        <w:t>maximáln</w:t>
      </w:r>
      <w:r>
        <w:rPr>
          <w:rFonts w:cstheme="minorHAnsi"/>
          <w:color w:val="404040" w:themeColor="text1" w:themeTint="BF"/>
        </w:rPr>
        <w:t>ě</w:t>
      </w:r>
      <w:r w:rsidRPr="00A418B2">
        <w:rPr>
          <w:rFonts w:cstheme="minorHAnsi"/>
          <w:color w:val="404040" w:themeColor="text1" w:themeTint="BF"/>
        </w:rPr>
        <w:t xml:space="preserve"> poslední</w:t>
      </w:r>
      <w:r>
        <w:rPr>
          <w:rFonts w:cstheme="minorHAnsi"/>
          <w:color w:val="404040" w:themeColor="text1" w:themeTint="BF"/>
        </w:rPr>
        <w:t>ho</w:t>
      </w:r>
      <w:r w:rsidRPr="00A418B2">
        <w:rPr>
          <w:rFonts w:cstheme="minorHAnsi"/>
          <w:color w:val="404040" w:themeColor="text1" w:themeTint="BF"/>
        </w:rPr>
        <w:t xml:space="preserve"> kalendářní čtvrtletí před časem výpočtu.</w:t>
      </w:r>
    </w:p>
    <w:p w:rsidR="005942E7" w:rsidRDefault="005942E7" w:rsidP="005942E7">
      <w:r>
        <w:br w:type="page"/>
      </w: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r w:rsidRPr="00202254">
        <w:rPr>
          <w:rFonts w:ascii="Calibri" w:hAnsi="Calibri" w:cs="Calibri"/>
          <w:b/>
          <w:color w:val="404040" w:themeColor="text1" w:themeTint="BF"/>
        </w:rPr>
        <w:lastRenderedPageBreak/>
        <w:t>Značení pneumatik</w:t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</w:p>
    <w:p w:rsidR="005942E7" w:rsidRPr="008C5B4C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114" w:history="1">
        <w:r w:rsidR="005942E7" w:rsidRPr="008C5B4C">
          <w:rPr>
            <w:rStyle w:val="Hypertextovodkaz"/>
            <w:rFonts w:ascii="Calibri" w:hAnsi="Calibri" w:cs="Calibri"/>
            <w:b/>
            <w:sz w:val="20"/>
          </w:rPr>
          <w:t>Návrh nařízení o označování pneumatik s ohledem na palivovou účinnost a jiné důležité parametry, kterým se zrušuje nařízení (ES) č. 1222/2009</w:t>
        </w:r>
      </w:hyperlink>
    </w:p>
    <w:p w:rsidR="005942E7" w:rsidRPr="008C5B4C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115" w:history="1">
        <w:r w:rsidR="005942E7" w:rsidRPr="008C5B4C">
          <w:rPr>
            <w:rStyle w:val="Hypertextovodkaz"/>
            <w:rFonts w:ascii="Calibri" w:hAnsi="Calibri" w:cs="Calibri"/>
            <w:sz w:val="20"/>
          </w:rPr>
          <w:t>Příloha</w:t>
        </w:r>
      </w:hyperlink>
    </w:p>
    <w:p w:rsidR="005942E7" w:rsidRPr="008C5B4C" w:rsidRDefault="005942E7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r w:rsidRPr="008C5B4C">
        <w:rPr>
          <w:rFonts w:ascii="Calibri" w:hAnsi="Calibri" w:cs="Calibri"/>
          <w:color w:val="404040" w:themeColor="text1" w:themeTint="BF"/>
          <w:sz w:val="20"/>
        </w:rPr>
        <w:t xml:space="preserve">Posouzení dopadů – </w:t>
      </w:r>
      <w:hyperlink r:id="rId116" w:history="1">
        <w:r w:rsidRPr="008C5B4C">
          <w:rPr>
            <w:rStyle w:val="Hypertextovodkaz"/>
            <w:rFonts w:ascii="Calibri" w:hAnsi="Calibri" w:cs="Calibri"/>
            <w:sz w:val="20"/>
          </w:rPr>
          <w:t>část I</w:t>
        </w:r>
      </w:hyperlink>
      <w:r w:rsidRPr="008C5B4C">
        <w:rPr>
          <w:rFonts w:ascii="Calibri" w:hAnsi="Calibri" w:cs="Calibri"/>
          <w:color w:val="404040" w:themeColor="text1" w:themeTint="BF"/>
          <w:sz w:val="20"/>
        </w:rPr>
        <w:t xml:space="preserve">, </w:t>
      </w:r>
      <w:hyperlink r:id="rId117" w:history="1">
        <w:r w:rsidRPr="008C5B4C">
          <w:rPr>
            <w:rStyle w:val="Hypertextovodkaz"/>
            <w:rFonts w:ascii="Calibri" w:hAnsi="Calibri" w:cs="Calibri"/>
            <w:sz w:val="20"/>
          </w:rPr>
          <w:t>část II</w:t>
        </w:r>
      </w:hyperlink>
      <w:r w:rsidRPr="008C5B4C">
        <w:rPr>
          <w:rFonts w:ascii="Calibri" w:hAnsi="Calibri" w:cs="Calibri"/>
          <w:color w:val="404040" w:themeColor="text1" w:themeTint="BF"/>
          <w:sz w:val="20"/>
        </w:rPr>
        <w:t xml:space="preserve"> a </w:t>
      </w:r>
      <w:hyperlink r:id="rId118" w:history="1">
        <w:r w:rsidRPr="008C5B4C">
          <w:rPr>
            <w:rStyle w:val="Hypertextovodkaz"/>
            <w:rFonts w:ascii="Calibri" w:hAnsi="Calibri" w:cs="Calibri"/>
            <w:sz w:val="20"/>
          </w:rPr>
          <w:t>část III</w:t>
        </w:r>
      </w:hyperlink>
    </w:p>
    <w:p w:rsidR="005942E7" w:rsidRPr="008C5B4C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119" w:history="1">
        <w:r w:rsidR="005942E7" w:rsidRPr="008C5B4C">
          <w:rPr>
            <w:rStyle w:val="Hypertextovodkaz"/>
            <w:rFonts w:ascii="Calibri" w:hAnsi="Calibri" w:cs="Calibri"/>
            <w:sz w:val="20"/>
          </w:rPr>
          <w:t>Shrnutí posouzení dopadů</w:t>
        </w:r>
      </w:hyperlink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262C93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262C93">
        <w:rPr>
          <w:rFonts w:cstheme="minorHAnsi"/>
          <w:b/>
          <w:color w:val="404040" w:themeColor="text1" w:themeTint="BF"/>
          <w:u w:val="single"/>
        </w:rPr>
        <w:t>Hodnocení dopadů</w:t>
      </w:r>
    </w:p>
    <w:p w:rsidR="005942E7" w:rsidRDefault="005942E7" w:rsidP="00B6003D">
      <w:pPr>
        <w:pStyle w:val="Odstavecseseznamem"/>
        <w:numPr>
          <w:ilvl w:val="0"/>
          <w:numId w:val="40"/>
        </w:numPr>
        <w:spacing w:after="0"/>
        <w:jc w:val="both"/>
        <w:rPr>
          <w:rFonts w:cstheme="minorHAnsi"/>
          <w:color w:val="404040" w:themeColor="text1" w:themeTint="BF"/>
        </w:rPr>
      </w:pPr>
      <w:r w:rsidRPr="00DA33F4">
        <w:rPr>
          <w:rFonts w:cstheme="minorHAnsi"/>
          <w:color w:val="404040" w:themeColor="text1" w:themeTint="BF"/>
        </w:rPr>
        <w:t>PO1 - neregulační opatření, včetně informačních kampaní, společných vynucovacích opatření a</w:t>
      </w:r>
      <w:r>
        <w:rPr>
          <w:rFonts w:cstheme="minorHAnsi"/>
          <w:color w:val="404040" w:themeColor="text1" w:themeTint="BF"/>
        </w:rPr>
        <w:t> </w:t>
      </w:r>
      <w:r w:rsidRPr="00DA33F4">
        <w:rPr>
          <w:rFonts w:cstheme="minorHAnsi"/>
          <w:color w:val="404040" w:themeColor="text1" w:themeTint="BF"/>
        </w:rPr>
        <w:t>revize zkušebních/testovacích metod.</w:t>
      </w:r>
    </w:p>
    <w:p w:rsidR="005942E7" w:rsidRPr="00DA33F4" w:rsidRDefault="005942E7" w:rsidP="00B6003D">
      <w:pPr>
        <w:pStyle w:val="Odstavecseseznamem"/>
        <w:numPr>
          <w:ilvl w:val="0"/>
          <w:numId w:val="40"/>
        </w:numPr>
        <w:spacing w:after="0"/>
        <w:jc w:val="both"/>
        <w:rPr>
          <w:rFonts w:cstheme="minorHAnsi"/>
          <w:color w:val="404040" w:themeColor="text1" w:themeTint="BF"/>
        </w:rPr>
      </w:pPr>
      <w:r w:rsidRPr="00DA33F4">
        <w:rPr>
          <w:rFonts w:cstheme="minorHAnsi"/>
          <w:color w:val="404040" w:themeColor="text1" w:themeTint="BF"/>
        </w:rPr>
        <w:t>PO2 - cílené změny legislativy, které umožní:</w:t>
      </w:r>
    </w:p>
    <w:p w:rsidR="005942E7" w:rsidRDefault="005942E7" w:rsidP="00B6003D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štítkování</w:t>
      </w:r>
      <w:r w:rsidRPr="00262C93">
        <w:rPr>
          <w:rFonts w:cstheme="minorHAnsi"/>
          <w:color w:val="404040" w:themeColor="text1" w:themeTint="BF"/>
        </w:rPr>
        <w:t xml:space="preserve"> pneumatik dodávaných s vozidly za všech okolností;</w:t>
      </w:r>
    </w:p>
    <w:p w:rsidR="005942E7" w:rsidRDefault="005942E7" w:rsidP="00B6003D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štítkování </w:t>
      </w:r>
      <w:r w:rsidRPr="00262C93">
        <w:rPr>
          <w:rFonts w:cstheme="minorHAnsi"/>
          <w:color w:val="404040" w:themeColor="text1" w:themeTint="BF"/>
        </w:rPr>
        <w:t>na internetu;</w:t>
      </w:r>
    </w:p>
    <w:p w:rsidR="005942E7" w:rsidRDefault="005942E7" w:rsidP="00B6003D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color w:val="404040" w:themeColor="text1" w:themeTint="BF"/>
        </w:rPr>
      </w:pPr>
      <w:r w:rsidRPr="00262C93">
        <w:rPr>
          <w:rFonts w:cstheme="minorHAnsi"/>
          <w:color w:val="404040" w:themeColor="text1" w:themeTint="BF"/>
        </w:rPr>
        <w:t>uvedení informací o výkonu sněhu a ledu na štítku;</w:t>
      </w:r>
    </w:p>
    <w:p w:rsidR="005942E7" w:rsidRDefault="005942E7" w:rsidP="00B6003D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color w:val="404040" w:themeColor="text1" w:themeTint="BF"/>
        </w:rPr>
      </w:pPr>
      <w:r w:rsidRPr="00262C93">
        <w:rPr>
          <w:rFonts w:cstheme="minorHAnsi"/>
          <w:color w:val="404040" w:themeColor="text1" w:themeTint="BF"/>
        </w:rPr>
        <w:t xml:space="preserve">rozšíření rozsahu požadavků na </w:t>
      </w:r>
      <w:r>
        <w:rPr>
          <w:rFonts w:cstheme="minorHAnsi"/>
          <w:color w:val="404040" w:themeColor="text1" w:themeTint="BF"/>
        </w:rPr>
        <w:t>štítkování</w:t>
      </w:r>
      <w:r w:rsidRPr="00262C93">
        <w:rPr>
          <w:rFonts w:cstheme="minorHAnsi"/>
          <w:color w:val="404040" w:themeColor="text1" w:themeTint="BF"/>
        </w:rPr>
        <w:t xml:space="preserve"> pneumatik třídy C3;</w:t>
      </w:r>
    </w:p>
    <w:p w:rsidR="005942E7" w:rsidRDefault="005942E7" w:rsidP="00B6003D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color w:val="404040" w:themeColor="text1" w:themeTint="BF"/>
        </w:rPr>
      </w:pPr>
      <w:r w:rsidRPr="00262C93">
        <w:rPr>
          <w:rFonts w:cstheme="minorHAnsi"/>
          <w:color w:val="404040" w:themeColor="text1" w:themeTint="BF"/>
        </w:rPr>
        <w:t>posílení požadavků týkajících se technické dokumentace;</w:t>
      </w:r>
    </w:p>
    <w:p w:rsidR="005942E7" w:rsidRDefault="005942E7" w:rsidP="00B6003D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color w:val="404040" w:themeColor="text1" w:themeTint="BF"/>
        </w:rPr>
      </w:pPr>
      <w:r w:rsidRPr="00262C93">
        <w:rPr>
          <w:rFonts w:cstheme="minorHAnsi"/>
          <w:color w:val="404040" w:themeColor="text1" w:themeTint="BF"/>
        </w:rPr>
        <w:t xml:space="preserve">změny příloh o zkušebních metodách a rozšíření procesu schvalování typu tak, aby zahrnovalo </w:t>
      </w:r>
      <w:r>
        <w:rPr>
          <w:rFonts w:cstheme="minorHAnsi"/>
          <w:color w:val="404040" w:themeColor="text1" w:themeTint="BF"/>
        </w:rPr>
        <w:t>prohlášení štítku</w:t>
      </w:r>
      <w:r w:rsidRPr="00262C93">
        <w:rPr>
          <w:rFonts w:cstheme="minorHAnsi"/>
          <w:color w:val="404040" w:themeColor="text1" w:themeTint="BF"/>
        </w:rPr>
        <w:t>;</w:t>
      </w:r>
    </w:p>
    <w:p w:rsidR="005942E7" w:rsidRDefault="005942E7" w:rsidP="00B6003D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color w:val="404040" w:themeColor="text1" w:themeTint="BF"/>
        </w:rPr>
      </w:pPr>
      <w:r w:rsidRPr="00262C93">
        <w:rPr>
          <w:rFonts w:cstheme="minorHAnsi"/>
          <w:color w:val="404040" w:themeColor="text1" w:themeTint="BF"/>
        </w:rPr>
        <w:t xml:space="preserve">budoucí zařazení </w:t>
      </w:r>
      <w:r>
        <w:rPr>
          <w:rFonts w:cstheme="minorHAnsi"/>
          <w:color w:val="404040" w:themeColor="text1" w:themeTint="BF"/>
        </w:rPr>
        <w:t xml:space="preserve">najetých </w:t>
      </w:r>
      <w:r w:rsidRPr="00262C93">
        <w:rPr>
          <w:rFonts w:cstheme="minorHAnsi"/>
          <w:color w:val="404040" w:themeColor="text1" w:themeTint="BF"/>
        </w:rPr>
        <w:t xml:space="preserve">kilometrů a oděru jako </w:t>
      </w:r>
      <w:r>
        <w:rPr>
          <w:rFonts w:cstheme="minorHAnsi"/>
          <w:color w:val="404040" w:themeColor="text1" w:themeTint="BF"/>
        </w:rPr>
        <w:t>výkonnostního p</w:t>
      </w:r>
      <w:r w:rsidRPr="00262C93">
        <w:rPr>
          <w:rFonts w:cstheme="minorHAnsi"/>
          <w:color w:val="404040" w:themeColor="text1" w:themeTint="BF"/>
        </w:rPr>
        <w:t>arametr</w:t>
      </w:r>
      <w:r>
        <w:rPr>
          <w:rFonts w:cstheme="minorHAnsi"/>
          <w:color w:val="404040" w:themeColor="text1" w:themeTint="BF"/>
        </w:rPr>
        <w:t>u</w:t>
      </w:r>
      <w:r w:rsidRPr="00262C93">
        <w:rPr>
          <w:rFonts w:cstheme="minorHAnsi"/>
          <w:color w:val="404040" w:themeColor="text1" w:themeTint="BF"/>
        </w:rPr>
        <w:t>;</w:t>
      </w:r>
    </w:p>
    <w:p w:rsidR="005942E7" w:rsidRDefault="005942E7" w:rsidP="00B6003D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změnu</w:t>
      </w:r>
      <w:r w:rsidRPr="00262C93">
        <w:rPr>
          <w:rFonts w:cstheme="minorHAnsi"/>
          <w:color w:val="404040" w:themeColor="text1" w:themeTint="BF"/>
        </w:rPr>
        <w:t xml:space="preserve"> tříd štítků; a</w:t>
      </w:r>
    </w:p>
    <w:p w:rsidR="005942E7" w:rsidRDefault="005942E7" w:rsidP="00B6003D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color w:val="404040" w:themeColor="text1" w:themeTint="BF"/>
        </w:rPr>
      </w:pPr>
      <w:r w:rsidRPr="00262C93">
        <w:rPr>
          <w:rFonts w:cstheme="minorHAnsi"/>
          <w:color w:val="404040" w:themeColor="text1" w:themeTint="BF"/>
        </w:rPr>
        <w:t>zařazení pneumatik do databáze pro registraci výrobků zavedené nařízením (EU) 2017/1369.</w:t>
      </w:r>
    </w:p>
    <w:p w:rsidR="005942E7" w:rsidRDefault="005942E7" w:rsidP="00B6003D">
      <w:pPr>
        <w:pStyle w:val="Odstavecseseznamem"/>
        <w:numPr>
          <w:ilvl w:val="0"/>
          <w:numId w:val="21"/>
        </w:numPr>
        <w:spacing w:after="0"/>
        <w:jc w:val="both"/>
        <w:rPr>
          <w:rFonts w:cstheme="minorHAnsi"/>
          <w:color w:val="404040" w:themeColor="text1" w:themeTint="BF"/>
        </w:rPr>
      </w:pPr>
      <w:r w:rsidRPr="00672B29">
        <w:rPr>
          <w:rFonts w:cstheme="minorHAnsi"/>
          <w:color w:val="404040" w:themeColor="text1" w:themeTint="BF"/>
        </w:rPr>
        <w:t>Byly zvažovány také dílčí možnosti, v nichž byly vyloučeny některé z výše zmíněných cílených legislativních změn.</w:t>
      </w:r>
    </w:p>
    <w:p w:rsidR="005942E7" w:rsidRPr="00672B29" w:rsidRDefault="005942E7" w:rsidP="00B6003D">
      <w:pPr>
        <w:pStyle w:val="Odstavecseseznamem"/>
        <w:numPr>
          <w:ilvl w:val="0"/>
          <w:numId w:val="41"/>
        </w:numPr>
        <w:spacing w:after="0"/>
        <w:jc w:val="both"/>
        <w:rPr>
          <w:rFonts w:cstheme="minorHAnsi"/>
          <w:b/>
          <w:color w:val="404040" w:themeColor="text1" w:themeTint="BF"/>
        </w:rPr>
      </w:pPr>
      <w:r w:rsidRPr="00672B29">
        <w:rPr>
          <w:rFonts w:cstheme="minorHAnsi"/>
          <w:b/>
          <w:color w:val="404040" w:themeColor="text1" w:themeTint="BF"/>
        </w:rPr>
        <w:t>PO3 - kombinace PO1</w:t>
      </w:r>
      <w:r>
        <w:rPr>
          <w:rFonts w:cstheme="minorHAnsi"/>
          <w:b/>
          <w:color w:val="404040" w:themeColor="text1" w:themeTint="BF"/>
        </w:rPr>
        <w:t xml:space="preserve"> a</w:t>
      </w:r>
      <w:r w:rsidRPr="00672B29">
        <w:rPr>
          <w:rFonts w:cstheme="minorHAnsi"/>
          <w:b/>
          <w:color w:val="404040" w:themeColor="text1" w:themeTint="BF"/>
        </w:rPr>
        <w:t xml:space="preserve"> PO2.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262C93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672B29">
        <w:rPr>
          <w:rFonts w:cstheme="minorHAnsi"/>
          <w:b/>
          <w:color w:val="404040" w:themeColor="text1" w:themeTint="BF"/>
        </w:rPr>
        <w:t>Upřednostňovanou</w:t>
      </w:r>
      <w:r w:rsidRPr="00870262">
        <w:rPr>
          <w:rFonts w:cstheme="minorHAnsi"/>
          <w:b/>
          <w:color w:val="404040" w:themeColor="text1" w:themeTint="BF"/>
        </w:rPr>
        <w:t xml:space="preserve"> variantou </w:t>
      </w:r>
      <w:r w:rsidRPr="00672B29">
        <w:rPr>
          <w:rFonts w:cstheme="minorHAnsi"/>
          <w:b/>
          <w:color w:val="404040" w:themeColor="text1" w:themeTint="BF"/>
        </w:rPr>
        <w:t>byla PO3. Studie možnosti PO 3 zjistila následující odhadované dopady</w:t>
      </w:r>
      <w:r w:rsidRPr="00262C93">
        <w:rPr>
          <w:rFonts w:cstheme="minorHAnsi"/>
          <w:color w:val="404040" w:themeColor="text1" w:themeTint="BF"/>
        </w:rPr>
        <w:t>:</w:t>
      </w:r>
    </w:p>
    <w:p w:rsidR="005942E7" w:rsidRDefault="005942E7" w:rsidP="00B6003D">
      <w:pPr>
        <w:pStyle w:val="Odstavecseseznamem"/>
        <w:numPr>
          <w:ilvl w:val="0"/>
          <w:numId w:val="22"/>
        </w:numPr>
        <w:spacing w:after="0"/>
        <w:jc w:val="both"/>
        <w:rPr>
          <w:rFonts w:cstheme="minorHAnsi"/>
          <w:color w:val="404040" w:themeColor="text1" w:themeTint="BF"/>
        </w:rPr>
      </w:pPr>
      <w:r w:rsidRPr="00444C27">
        <w:rPr>
          <w:rFonts w:cstheme="minorHAnsi"/>
          <w:b/>
          <w:color w:val="404040" w:themeColor="text1" w:themeTint="BF"/>
        </w:rPr>
        <w:t>zvýšení obratu byznysu o 9 mld. EUR</w:t>
      </w:r>
      <w:r w:rsidRPr="00E8044F">
        <w:rPr>
          <w:rFonts w:cstheme="minorHAnsi"/>
          <w:color w:val="404040" w:themeColor="text1" w:themeTint="BF"/>
        </w:rPr>
        <w:t xml:space="preserve"> ročně do roku 2030;</w:t>
      </w:r>
    </w:p>
    <w:p w:rsidR="005942E7" w:rsidRDefault="005942E7" w:rsidP="00B6003D">
      <w:pPr>
        <w:pStyle w:val="Odstavecseseznamem"/>
        <w:numPr>
          <w:ilvl w:val="0"/>
          <w:numId w:val="22"/>
        </w:numPr>
        <w:spacing w:after="0"/>
        <w:jc w:val="both"/>
        <w:rPr>
          <w:rFonts w:cstheme="minorHAnsi"/>
          <w:color w:val="404040" w:themeColor="text1" w:themeTint="BF"/>
        </w:rPr>
      </w:pPr>
      <w:r w:rsidRPr="00E8044F">
        <w:rPr>
          <w:rFonts w:cstheme="minorHAnsi"/>
          <w:color w:val="404040" w:themeColor="text1" w:themeTint="BF"/>
        </w:rPr>
        <w:t xml:space="preserve">129 PJ </w:t>
      </w:r>
      <w:r>
        <w:rPr>
          <w:rFonts w:cstheme="minorHAnsi"/>
          <w:color w:val="404040" w:themeColor="text1" w:themeTint="BF"/>
        </w:rPr>
        <w:t xml:space="preserve">ročně ušetřeného paliva </w:t>
      </w:r>
      <w:r w:rsidRPr="00E8044F">
        <w:rPr>
          <w:rFonts w:cstheme="minorHAnsi"/>
          <w:color w:val="404040" w:themeColor="text1" w:themeTint="BF"/>
        </w:rPr>
        <w:t>do roku 2030;</w:t>
      </w:r>
    </w:p>
    <w:p w:rsidR="005942E7" w:rsidRDefault="005942E7" w:rsidP="00B6003D">
      <w:pPr>
        <w:pStyle w:val="Odstavecseseznamem"/>
        <w:numPr>
          <w:ilvl w:val="0"/>
          <w:numId w:val="22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úspory </w:t>
      </w:r>
      <w:r w:rsidRPr="00E8044F">
        <w:rPr>
          <w:rFonts w:cstheme="minorHAnsi"/>
          <w:color w:val="404040" w:themeColor="text1" w:themeTint="BF"/>
        </w:rPr>
        <w:t xml:space="preserve">10 </w:t>
      </w:r>
      <w:r>
        <w:rPr>
          <w:rFonts w:cstheme="minorHAnsi"/>
          <w:color w:val="404040" w:themeColor="text1" w:themeTint="BF"/>
        </w:rPr>
        <w:t xml:space="preserve">Mt </w:t>
      </w:r>
      <w:r w:rsidRPr="00E8044F">
        <w:rPr>
          <w:rFonts w:cstheme="minorHAnsi"/>
          <w:color w:val="404040" w:themeColor="text1" w:themeTint="BF"/>
        </w:rPr>
        <w:t>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E8044F">
        <w:rPr>
          <w:rFonts w:cstheme="minorHAnsi"/>
          <w:color w:val="404040" w:themeColor="text1" w:themeTint="BF"/>
        </w:rPr>
        <w:t xml:space="preserve"> ekvivalent</w:t>
      </w:r>
      <w:r>
        <w:rPr>
          <w:rFonts w:cstheme="minorHAnsi"/>
          <w:color w:val="404040" w:themeColor="text1" w:themeTint="BF"/>
        </w:rPr>
        <w:t>u</w:t>
      </w:r>
      <w:r w:rsidRPr="00E8044F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ročně </w:t>
      </w:r>
      <w:r w:rsidRPr="00E8044F">
        <w:rPr>
          <w:rFonts w:cstheme="minorHAnsi"/>
          <w:color w:val="404040" w:themeColor="text1" w:themeTint="BF"/>
        </w:rPr>
        <w:t>do roku 2030;</w:t>
      </w:r>
    </w:p>
    <w:p w:rsidR="005942E7" w:rsidRDefault="005942E7" w:rsidP="00B6003D">
      <w:pPr>
        <w:pStyle w:val="Odstavecseseznamem"/>
        <w:numPr>
          <w:ilvl w:val="0"/>
          <w:numId w:val="22"/>
        </w:numPr>
        <w:spacing w:after="0"/>
        <w:jc w:val="both"/>
        <w:rPr>
          <w:rFonts w:cstheme="minorHAnsi"/>
          <w:color w:val="404040" w:themeColor="text1" w:themeTint="BF"/>
        </w:rPr>
      </w:pPr>
      <w:r w:rsidRPr="00E8044F">
        <w:rPr>
          <w:rFonts w:cstheme="minorHAnsi"/>
          <w:color w:val="404040" w:themeColor="text1" w:themeTint="BF"/>
        </w:rPr>
        <w:t xml:space="preserve">snížení emisí hluku z pneumatik a </w:t>
      </w:r>
      <w:r>
        <w:rPr>
          <w:rFonts w:cstheme="minorHAnsi"/>
          <w:color w:val="404040" w:themeColor="text1" w:themeTint="BF"/>
        </w:rPr>
        <w:t xml:space="preserve">z toho plynoucí </w:t>
      </w:r>
      <w:r w:rsidRPr="00E8044F">
        <w:rPr>
          <w:rFonts w:cstheme="minorHAnsi"/>
          <w:color w:val="404040" w:themeColor="text1" w:themeTint="BF"/>
        </w:rPr>
        <w:t>zdravotní přínosy; a</w:t>
      </w:r>
    </w:p>
    <w:p w:rsidR="005942E7" w:rsidRPr="00E8044F" w:rsidRDefault="005942E7" w:rsidP="00B6003D">
      <w:pPr>
        <w:pStyle w:val="Odstavecseseznamem"/>
        <w:numPr>
          <w:ilvl w:val="0"/>
          <w:numId w:val="22"/>
        </w:numPr>
        <w:spacing w:after="0"/>
        <w:jc w:val="both"/>
        <w:rPr>
          <w:rFonts w:cstheme="minorHAnsi"/>
          <w:color w:val="404040" w:themeColor="text1" w:themeTint="BF"/>
        </w:rPr>
      </w:pPr>
      <w:r w:rsidRPr="00E8044F">
        <w:rPr>
          <w:rFonts w:cstheme="minorHAnsi"/>
          <w:color w:val="404040" w:themeColor="text1" w:themeTint="BF"/>
        </w:rPr>
        <w:t>větší bezpečnost a méně nehod.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262C93">
        <w:rPr>
          <w:rFonts w:cstheme="minorHAnsi"/>
          <w:color w:val="404040" w:themeColor="text1" w:themeTint="BF"/>
        </w:rPr>
        <w:t xml:space="preserve">Tento návrh zavádí legislativní část upřednostňované </w:t>
      </w:r>
      <w:r>
        <w:rPr>
          <w:rFonts w:cstheme="minorHAnsi"/>
          <w:color w:val="404040" w:themeColor="text1" w:themeTint="BF"/>
        </w:rPr>
        <w:t>varianty</w:t>
      </w:r>
      <w:r w:rsidRPr="00262C93">
        <w:rPr>
          <w:rFonts w:cstheme="minorHAnsi"/>
          <w:color w:val="404040" w:themeColor="text1" w:themeTint="BF"/>
        </w:rPr>
        <w:t>. Další nelegislativní opatření k provedení této možnosti je uvedeno v posouzení dopadů.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E8044F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E8044F">
        <w:rPr>
          <w:rFonts w:cstheme="minorHAnsi"/>
          <w:b/>
          <w:color w:val="404040" w:themeColor="text1" w:themeTint="BF"/>
          <w:u w:val="single"/>
        </w:rPr>
        <w:t>Změny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444C27">
        <w:rPr>
          <w:rFonts w:cstheme="minorHAnsi"/>
          <w:b/>
          <w:color w:val="404040" w:themeColor="text1" w:themeTint="BF"/>
        </w:rPr>
        <w:t>aktualizace štítku pneumatik a jeho revize</w:t>
      </w:r>
      <w:r w:rsidRPr="00B43BCA">
        <w:rPr>
          <w:rFonts w:cstheme="minorHAnsi"/>
          <w:color w:val="404040" w:themeColor="text1" w:themeTint="BF"/>
        </w:rPr>
        <w:t>;</w:t>
      </w:r>
    </w:p>
    <w:p w:rsidR="005942E7" w:rsidRPr="002334C2" w:rsidRDefault="005942E7" w:rsidP="00B6003D">
      <w:pPr>
        <w:pStyle w:val="Odstavecseseznamem"/>
        <w:numPr>
          <w:ilvl w:val="1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štítky</w:t>
      </w:r>
      <w:r w:rsidRPr="002334C2">
        <w:rPr>
          <w:rFonts w:cstheme="minorHAnsi"/>
          <w:color w:val="404040" w:themeColor="text1" w:themeTint="BF"/>
        </w:rPr>
        <w:t xml:space="preserve"> zahrnuj</w:t>
      </w:r>
      <w:r>
        <w:rPr>
          <w:rFonts w:cstheme="minorHAnsi"/>
          <w:color w:val="404040" w:themeColor="text1" w:themeTint="BF"/>
        </w:rPr>
        <w:t>í</w:t>
      </w:r>
      <w:r w:rsidRPr="002334C2">
        <w:rPr>
          <w:rFonts w:cstheme="minorHAnsi"/>
          <w:color w:val="404040" w:themeColor="text1" w:themeTint="BF"/>
        </w:rPr>
        <w:t xml:space="preserve"> tři parametry: valivý odpor, přilnavost za mokra a vnější hluk odvalování. Třídy pro tyto parametry je třeba upravit tak, aby zohledňovaly technologický pokr</w:t>
      </w:r>
      <w:r>
        <w:rPr>
          <w:rFonts w:cstheme="minorHAnsi"/>
          <w:color w:val="404040" w:themeColor="text1" w:themeTint="BF"/>
        </w:rPr>
        <w:t>ok a </w:t>
      </w:r>
      <w:r w:rsidRPr="002334C2">
        <w:rPr>
          <w:rFonts w:cstheme="minorHAnsi"/>
          <w:color w:val="404040" w:themeColor="text1" w:themeTint="BF"/>
        </w:rPr>
        <w:t xml:space="preserve">skutečnost, že požadavky GSR znamenají, že třídy </w:t>
      </w:r>
      <w:r>
        <w:rPr>
          <w:rFonts w:cstheme="minorHAnsi"/>
          <w:color w:val="404040" w:themeColor="text1" w:themeTint="BF"/>
        </w:rPr>
        <w:t xml:space="preserve">dole na konci </w:t>
      </w:r>
      <w:r w:rsidRPr="002334C2">
        <w:rPr>
          <w:rFonts w:cstheme="minorHAnsi"/>
          <w:color w:val="404040" w:themeColor="text1" w:themeTint="BF"/>
        </w:rPr>
        <w:t>jsou ve skutečnosti prázdné, protože tyto pneumatiky již nemohou být prodávány na trhu Unie.</w:t>
      </w:r>
    </w:p>
    <w:p w:rsidR="005942E7" w:rsidRDefault="005942E7" w:rsidP="00B6003D">
      <w:pPr>
        <w:pStyle w:val="Odstavecseseznamem"/>
        <w:numPr>
          <w:ilvl w:val="1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díky č</w:t>
      </w:r>
      <w:r w:rsidRPr="002334C2">
        <w:rPr>
          <w:rFonts w:cstheme="minorHAnsi"/>
          <w:color w:val="404040" w:themeColor="text1" w:themeTint="BF"/>
        </w:rPr>
        <w:t>lánk</w:t>
      </w:r>
      <w:r>
        <w:rPr>
          <w:rFonts w:cstheme="minorHAnsi"/>
          <w:color w:val="404040" w:themeColor="text1" w:themeTint="BF"/>
        </w:rPr>
        <w:t>u</w:t>
      </w:r>
      <w:r w:rsidRPr="002334C2">
        <w:rPr>
          <w:rFonts w:cstheme="minorHAnsi"/>
          <w:color w:val="404040" w:themeColor="text1" w:themeTint="BF"/>
        </w:rPr>
        <w:t xml:space="preserve"> 11 </w:t>
      </w:r>
      <w:r>
        <w:rPr>
          <w:rFonts w:cstheme="minorHAnsi"/>
          <w:color w:val="404040" w:themeColor="text1" w:themeTint="BF"/>
        </w:rPr>
        <w:t>a zmocnění</w:t>
      </w:r>
      <w:r w:rsidRPr="002334C2">
        <w:rPr>
          <w:rFonts w:cstheme="minorHAnsi"/>
          <w:color w:val="404040" w:themeColor="text1" w:themeTint="BF"/>
        </w:rPr>
        <w:t xml:space="preserve"> Komis</w:t>
      </w:r>
      <w:r>
        <w:rPr>
          <w:rFonts w:cstheme="minorHAnsi"/>
          <w:color w:val="404040" w:themeColor="text1" w:themeTint="BF"/>
        </w:rPr>
        <w:t>e</w:t>
      </w:r>
      <w:r w:rsidRPr="002334C2">
        <w:rPr>
          <w:rFonts w:cstheme="minorHAnsi"/>
          <w:color w:val="404040" w:themeColor="text1" w:themeTint="BF"/>
        </w:rPr>
        <w:t xml:space="preserve"> přijímat akty v přenesené pravomoci b</w:t>
      </w:r>
      <w:r>
        <w:rPr>
          <w:rFonts w:cstheme="minorHAnsi"/>
          <w:color w:val="404040" w:themeColor="text1" w:themeTint="BF"/>
        </w:rPr>
        <w:t>ude</w:t>
      </w:r>
      <w:r w:rsidRPr="002334C2">
        <w:rPr>
          <w:rFonts w:cstheme="minorHAnsi"/>
          <w:color w:val="404040" w:themeColor="text1" w:themeTint="BF"/>
        </w:rPr>
        <w:t xml:space="preserve"> možné prostřednictvím delegovaných aktů dosáhnout </w:t>
      </w:r>
      <w:r w:rsidRPr="00444C27">
        <w:rPr>
          <w:rFonts w:cstheme="minorHAnsi"/>
          <w:b/>
          <w:color w:val="404040" w:themeColor="text1" w:themeTint="BF"/>
        </w:rPr>
        <w:t xml:space="preserve">budoucího zahrnutí parametrů ledu, najetých kilometrů a otěru </w:t>
      </w:r>
      <w:r w:rsidRPr="002334C2">
        <w:rPr>
          <w:rFonts w:cstheme="minorHAnsi"/>
          <w:color w:val="404040" w:themeColor="text1" w:themeTint="BF"/>
        </w:rPr>
        <w:t>a budoucího opětovného přizpůsobení tříd štítků.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444C27">
        <w:rPr>
          <w:rFonts w:cstheme="minorHAnsi"/>
          <w:b/>
          <w:color w:val="404040" w:themeColor="text1" w:themeTint="BF"/>
        </w:rPr>
        <w:lastRenderedPageBreak/>
        <w:t>zlepšení viditelnosti štítků</w:t>
      </w:r>
      <w:r w:rsidRPr="00B43BCA">
        <w:rPr>
          <w:rFonts w:cstheme="minorHAnsi"/>
          <w:color w:val="404040" w:themeColor="text1" w:themeTint="BF"/>
        </w:rPr>
        <w:t xml:space="preserve"> pro spotřebitele tím, že bude vyžadov</w:t>
      </w:r>
      <w:r>
        <w:rPr>
          <w:rFonts w:cstheme="minorHAnsi"/>
          <w:color w:val="404040" w:themeColor="text1" w:themeTint="BF"/>
        </w:rPr>
        <w:t>áno</w:t>
      </w:r>
      <w:r w:rsidRPr="00B43BCA">
        <w:rPr>
          <w:rFonts w:cstheme="minorHAnsi"/>
          <w:color w:val="404040" w:themeColor="text1" w:themeTint="BF"/>
        </w:rPr>
        <w:t xml:space="preserve">, aby byly zobrazeny ve všech situacích, ve kterých jsou pneumatiky prodávány; a stanovení požadavků týkajících se </w:t>
      </w:r>
      <w:r>
        <w:rPr>
          <w:rFonts w:cstheme="minorHAnsi"/>
          <w:color w:val="404040" w:themeColor="text1" w:themeTint="BF"/>
        </w:rPr>
        <w:t>dálkového a </w:t>
      </w:r>
      <w:r w:rsidRPr="00B43BCA">
        <w:rPr>
          <w:rFonts w:cstheme="minorHAnsi"/>
          <w:color w:val="404040" w:themeColor="text1" w:themeTint="BF"/>
        </w:rPr>
        <w:t>internetového prodeje a dalších situací, kdy spotřebitelé fyzicky nevidí pneumatiky;</w:t>
      </w:r>
    </w:p>
    <w:p w:rsidR="005942E7" w:rsidRPr="008F08CE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B43BCA">
        <w:rPr>
          <w:rFonts w:cstheme="minorHAnsi"/>
          <w:color w:val="404040" w:themeColor="text1" w:themeTint="BF"/>
        </w:rPr>
        <w:t>vyžadov</w:t>
      </w:r>
      <w:r>
        <w:rPr>
          <w:rFonts w:cstheme="minorHAnsi"/>
          <w:color w:val="404040" w:themeColor="text1" w:themeTint="BF"/>
        </w:rPr>
        <w:t>ání toho</w:t>
      </w:r>
      <w:r w:rsidRPr="00B43BCA">
        <w:rPr>
          <w:rFonts w:cstheme="minorHAnsi"/>
          <w:color w:val="404040" w:themeColor="text1" w:themeTint="BF"/>
        </w:rPr>
        <w:t>, aby byly na</w:t>
      </w:r>
      <w:r>
        <w:rPr>
          <w:rFonts w:cstheme="minorHAnsi"/>
          <w:color w:val="404040" w:themeColor="text1" w:themeTint="BF"/>
        </w:rPr>
        <w:t xml:space="preserve"> štítku</w:t>
      </w:r>
      <w:r w:rsidRPr="00B43BCA">
        <w:rPr>
          <w:rFonts w:cstheme="minorHAnsi"/>
          <w:color w:val="404040" w:themeColor="text1" w:themeTint="BF"/>
        </w:rPr>
        <w:t xml:space="preserve"> uvedeny údaje o </w:t>
      </w:r>
      <w:r w:rsidRPr="008F08CE">
        <w:rPr>
          <w:rFonts w:cstheme="minorHAnsi"/>
          <w:b/>
          <w:color w:val="404040" w:themeColor="text1" w:themeTint="BF"/>
        </w:rPr>
        <w:t>účinnosti na sněhu a ledu</w:t>
      </w:r>
      <w:r w:rsidRPr="008F08CE">
        <w:rPr>
          <w:rFonts w:cstheme="minorHAnsi"/>
          <w:color w:val="404040" w:themeColor="text1" w:themeTint="BF"/>
        </w:rPr>
        <w:t>;</w:t>
      </w:r>
    </w:p>
    <w:p w:rsidR="005942E7" w:rsidRPr="008F08CE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8F08CE">
        <w:rPr>
          <w:rFonts w:cstheme="minorHAnsi"/>
          <w:color w:val="404040" w:themeColor="text1" w:themeTint="BF"/>
        </w:rPr>
        <w:t>umožnění případného započtení ujetých kilometrů a oděru jako parametru pro štítek;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8F08CE">
        <w:rPr>
          <w:rFonts w:cstheme="minorHAnsi"/>
          <w:color w:val="404040" w:themeColor="text1" w:themeTint="BF"/>
        </w:rPr>
        <w:t>v případě potřeby umožnění budoucího zařazení renovovaných pneumatik (protektorů</w:t>
      </w:r>
      <w:r>
        <w:rPr>
          <w:rFonts w:cstheme="minorHAnsi"/>
          <w:color w:val="404040" w:themeColor="text1" w:themeTint="BF"/>
        </w:rPr>
        <w:t>)</w:t>
      </w:r>
      <w:r w:rsidRPr="00ED32AE">
        <w:rPr>
          <w:rFonts w:cstheme="minorHAnsi"/>
          <w:color w:val="404040" w:themeColor="text1" w:themeTint="BF"/>
        </w:rPr>
        <w:t>;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ED32AE">
        <w:rPr>
          <w:rFonts w:cstheme="minorHAnsi"/>
          <w:color w:val="404040" w:themeColor="text1" w:themeTint="BF"/>
        </w:rPr>
        <w:t>vyžadování, aby štítek byl zobrazen ve vizuálních reklamách a</w:t>
      </w:r>
      <w:r>
        <w:rPr>
          <w:rFonts w:cstheme="minorHAnsi"/>
          <w:color w:val="404040" w:themeColor="text1" w:themeTint="BF"/>
        </w:rPr>
        <w:t xml:space="preserve"> </w:t>
      </w:r>
      <w:r w:rsidRPr="00ED32AE">
        <w:rPr>
          <w:rFonts w:cstheme="minorHAnsi"/>
          <w:color w:val="404040" w:themeColor="text1" w:themeTint="BF"/>
        </w:rPr>
        <w:t>propagačních materiálech;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ED32AE">
        <w:rPr>
          <w:rFonts w:cstheme="minorHAnsi"/>
          <w:color w:val="404040" w:themeColor="text1" w:themeTint="BF"/>
        </w:rPr>
        <w:t xml:space="preserve">rozšíření požadavků na označení na </w:t>
      </w:r>
      <w:r w:rsidRPr="008F08CE">
        <w:rPr>
          <w:rFonts w:cstheme="minorHAnsi"/>
          <w:b/>
          <w:color w:val="404040" w:themeColor="text1" w:themeTint="BF"/>
        </w:rPr>
        <w:t>pneumatiky třídy C3</w:t>
      </w:r>
      <w:r>
        <w:rPr>
          <w:rFonts w:cstheme="minorHAnsi"/>
          <w:color w:val="404040" w:themeColor="text1" w:themeTint="BF"/>
        </w:rPr>
        <w:t xml:space="preserve"> (vozidla těžké váhy)</w:t>
      </w:r>
      <w:r w:rsidRPr="00ED32AE">
        <w:rPr>
          <w:rFonts w:cstheme="minorHAnsi"/>
          <w:color w:val="404040" w:themeColor="text1" w:themeTint="BF"/>
        </w:rPr>
        <w:t>;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ED32AE">
        <w:rPr>
          <w:rFonts w:cstheme="minorHAnsi"/>
          <w:color w:val="404040" w:themeColor="text1" w:themeTint="BF"/>
        </w:rPr>
        <w:t>rozšíření procesu schvalování typu tak, aby zahrnovalo prohlášení štítku;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ED32AE">
        <w:rPr>
          <w:rFonts w:cstheme="minorHAnsi"/>
          <w:color w:val="404040" w:themeColor="text1" w:themeTint="BF"/>
        </w:rPr>
        <w:t>vytvoření povinnosti registrovat pneumatiky v databázi výrobků zřízené nařízením (EU) 2017/1369;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ú</w:t>
      </w:r>
      <w:r w:rsidRPr="00ED32AE">
        <w:rPr>
          <w:rFonts w:cstheme="minorHAnsi"/>
          <w:color w:val="404040" w:themeColor="text1" w:themeTint="BF"/>
        </w:rPr>
        <w:t>prav</w:t>
      </w:r>
      <w:r>
        <w:rPr>
          <w:rFonts w:cstheme="minorHAnsi"/>
          <w:color w:val="404040" w:themeColor="text1" w:themeTint="BF"/>
        </w:rPr>
        <w:t>a</w:t>
      </w:r>
      <w:r w:rsidRPr="00ED32AE">
        <w:rPr>
          <w:rFonts w:cstheme="minorHAnsi"/>
          <w:color w:val="404040" w:themeColor="text1" w:themeTint="BF"/>
        </w:rPr>
        <w:t xml:space="preserve"> třídění parametrů pneumatiky v příloze I;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ED32AE">
        <w:rPr>
          <w:rFonts w:cstheme="minorHAnsi"/>
          <w:color w:val="404040" w:themeColor="text1" w:themeTint="BF"/>
        </w:rPr>
        <w:t>Aktualizace štítku v příloze II (zejména pro zobrazení ikony "sníh");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ED32AE">
        <w:rPr>
          <w:rFonts w:cstheme="minorHAnsi"/>
          <w:color w:val="404040" w:themeColor="text1" w:themeTint="BF"/>
        </w:rPr>
        <w:t>Přidání příloh k</w:t>
      </w:r>
      <w:r>
        <w:rPr>
          <w:rFonts w:cstheme="minorHAnsi"/>
          <w:color w:val="404040" w:themeColor="text1" w:themeTint="BF"/>
        </w:rPr>
        <w:t> </w:t>
      </w:r>
      <w:r w:rsidRPr="00ED32AE">
        <w:rPr>
          <w:rFonts w:cstheme="minorHAnsi"/>
          <w:color w:val="404040" w:themeColor="text1" w:themeTint="BF"/>
        </w:rPr>
        <w:t>požadavkům</w:t>
      </w:r>
      <w:r>
        <w:rPr>
          <w:rFonts w:cstheme="minorHAnsi"/>
          <w:color w:val="404040" w:themeColor="text1" w:themeTint="BF"/>
        </w:rPr>
        <w:t xml:space="preserve"> na</w:t>
      </w:r>
      <w:r w:rsidRPr="00ED32AE">
        <w:rPr>
          <w:rFonts w:cstheme="minorHAnsi"/>
          <w:color w:val="404040" w:themeColor="text1" w:themeTint="BF"/>
        </w:rPr>
        <w:t xml:space="preserve"> informac</w:t>
      </w:r>
      <w:r>
        <w:rPr>
          <w:rFonts w:cstheme="minorHAnsi"/>
          <w:color w:val="404040" w:themeColor="text1" w:themeTint="BF"/>
        </w:rPr>
        <w:t>e</w:t>
      </w:r>
      <w:r w:rsidRPr="00ED32AE">
        <w:rPr>
          <w:rFonts w:cstheme="minorHAnsi"/>
          <w:color w:val="404040" w:themeColor="text1" w:themeTint="BF"/>
        </w:rPr>
        <w:t>;</w:t>
      </w:r>
    </w:p>
    <w:p w:rsidR="005942E7" w:rsidRDefault="005942E7" w:rsidP="00B6003D">
      <w:pPr>
        <w:pStyle w:val="Odstavecseseznamem"/>
        <w:numPr>
          <w:ilvl w:val="0"/>
          <w:numId w:val="23"/>
        </w:numPr>
        <w:spacing w:after="0"/>
        <w:jc w:val="both"/>
        <w:rPr>
          <w:rFonts w:cstheme="minorHAnsi"/>
          <w:color w:val="404040" w:themeColor="text1" w:themeTint="BF"/>
        </w:rPr>
      </w:pPr>
      <w:r w:rsidRPr="00ED32AE">
        <w:rPr>
          <w:rFonts w:cstheme="minorHAnsi"/>
          <w:color w:val="404040" w:themeColor="text1" w:themeTint="BF"/>
        </w:rPr>
        <w:t>Výměna přílohy ke zkušební</w:t>
      </w:r>
      <w:r>
        <w:rPr>
          <w:rFonts w:cstheme="minorHAnsi"/>
          <w:color w:val="404040" w:themeColor="text1" w:themeTint="BF"/>
        </w:rPr>
        <w:t>/testovací</w:t>
      </w:r>
      <w:r w:rsidRPr="00ED32AE">
        <w:rPr>
          <w:rFonts w:cstheme="minorHAnsi"/>
          <w:color w:val="404040" w:themeColor="text1" w:themeTint="BF"/>
        </w:rPr>
        <w:t xml:space="preserve"> metodě pro měření indexu přilnavosti za mokra (G) </w:t>
      </w:r>
      <w:r>
        <w:rPr>
          <w:rFonts w:cstheme="minorHAnsi"/>
          <w:color w:val="404040" w:themeColor="text1" w:themeTint="BF"/>
        </w:rPr>
        <w:t>u </w:t>
      </w:r>
      <w:r w:rsidRPr="00ED32AE">
        <w:rPr>
          <w:rFonts w:cstheme="minorHAnsi"/>
          <w:color w:val="404040" w:themeColor="text1" w:themeTint="BF"/>
        </w:rPr>
        <w:t>pneumatik třídy C1 s odkazem na příslušné metody měření.</w:t>
      </w:r>
    </w:p>
    <w:p w:rsidR="005942E7" w:rsidRDefault="005942E7" w:rsidP="005942E7">
      <w:r>
        <w:br w:type="page"/>
      </w: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12" w:name="_Ref515184659"/>
      <w:r w:rsidRPr="00202254">
        <w:rPr>
          <w:rFonts w:ascii="Calibri" w:hAnsi="Calibri" w:cs="Calibri"/>
          <w:b/>
          <w:color w:val="404040" w:themeColor="text1" w:themeTint="BF"/>
        </w:rPr>
        <w:lastRenderedPageBreak/>
        <w:t>Iniciativa/aliance v oblasti baterií</w:t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  <w:bookmarkEnd w:id="12"/>
    </w:p>
    <w:p w:rsidR="005942E7" w:rsidRPr="00E311F1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120" w:history="1">
        <w:r w:rsidR="005942E7" w:rsidRPr="00E311F1">
          <w:rPr>
            <w:rStyle w:val="Hypertextovodkaz"/>
            <w:rFonts w:ascii="Calibri" w:hAnsi="Calibri" w:cs="Calibri"/>
            <w:sz w:val="20"/>
          </w:rPr>
          <w:t>Zpráva o surovinách pro použití v bateriích</w:t>
        </w:r>
      </w:hyperlink>
    </w:p>
    <w:p w:rsidR="005942E7" w:rsidRPr="00E311F1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121" w:history="1">
        <w:r w:rsidR="005942E7" w:rsidRPr="00E311F1">
          <w:rPr>
            <w:rStyle w:val="Hypertextovodkaz"/>
            <w:rFonts w:ascii="Calibri" w:hAnsi="Calibri" w:cs="Calibri"/>
            <w:b/>
            <w:sz w:val="20"/>
          </w:rPr>
          <w:t>Strategický akční plán pro baterie</w:t>
        </w:r>
      </w:hyperlink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F40504" w:rsidRDefault="00316E66" w:rsidP="005942E7">
      <w:pPr>
        <w:spacing w:after="0"/>
        <w:jc w:val="both"/>
        <w:rPr>
          <w:rFonts w:ascii="Calibri" w:hAnsi="Calibri" w:cs="Calibri"/>
          <w:color w:val="404040" w:themeColor="text1" w:themeTint="BF"/>
        </w:rPr>
      </w:pPr>
      <w:hyperlink r:id="rId122" w:history="1">
        <w:r w:rsidR="005942E7" w:rsidRPr="00F40504">
          <w:rPr>
            <w:rStyle w:val="Hypertextovodkaz"/>
            <w:rFonts w:ascii="Calibri" w:hAnsi="Calibri" w:cs="Calibri"/>
          </w:rPr>
          <w:t>Zpráva o surovinách pro použití v bateriích</w:t>
        </w:r>
      </w:hyperlink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7622D9">
        <w:rPr>
          <w:rFonts w:cstheme="minorHAnsi"/>
          <w:color w:val="404040" w:themeColor="text1" w:themeTint="BF"/>
        </w:rPr>
        <w:t>Baterie jsou klíčovými technologiemi umožňujícími nízko</w:t>
      </w:r>
      <w:r>
        <w:rPr>
          <w:rFonts w:cstheme="minorHAnsi"/>
          <w:color w:val="404040" w:themeColor="text1" w:themeTint="BF"/>
        </w:rPr>
        <w:t>-emisní mobilitu a ukládání</w:t>
      </w:r>
      <w:r w:rsidRPr="007622D9">
        <w:rPr>
          <w:rFonts w:cstheme="minorHAnsi"/>
          <w:color w:val="404040" w:themeColor="text1" w:themeTint="BF"/>
        </w:rPr>
        <w:t xml:space="preserve"> energie. Nedávné prognózy naznačují, že poptávka po bateriích jak v EU, tak v celosvětovém měřítku bude v příštích letech exponenciálně růst.</w:t>
      </w:r>
      <w:r>
        <w:rPr>
          <w:rFonts w:cstheme="minorHAnsi"/>
          <w:color w:val="404040" w:themeColor="text1" w:themeTint="BF"/>
        </w:rPr>
        <w:t xml:space="preserve"> </w:t>
      </w:r>
      <w:r w:rsidRPr="00B15430">
        <w:rPr>
          <w:rFonts w:cstheme="minorHAnsi"/>
          <w:b/>
          <w:color w:val="404040" w:themeColor="text1" w:themeTint="BF"/>
        </w:rPr>
        <w:t>EU musí více využívat svých vlastních surovin</w:t>
      </w:r>
      <w:r>
        <w:rPr>
          <w:rFonts w:cstheme="minorHAnsi"/>
          <w:color w:val="404040" w:themeColor="text1" w:themeTint="BF"/>
        </w:rPr>
        <w:t>, v ČR se dle zprávy nacházejí zejména zásoby lithia a přírodního grafitu.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7622D9">
        <w:rPr>
          <w:rFonts w:cstheme="minorHAnsi"/>
          <w:color w:val="404040" w:themeColor="text1" w:themeTint="BF"/>
        </w:rPr>
        <w:t xml:space="preserve">Zpráva se zaměřuje na </w:t>
      </w:r>
      <w:r w:rsidRPr="006E3237">
        <w:rPr>
          <w:rFonts w:cstheme="minorHAnsi"/>
          <w:b/>
          <w:color w:val="404040" w:themeColor="text1" w:themeTint="BF"/>
        </w:rPr>
        <w:t>čtyři základní suroviny pro výrobu baterií: kobalt, lithium, grafit a nikl</w:t>
      </w:r>
      <w:r w:rsidRPr="007622D9">
        <w:rPr>
          <w:rFonts w:cstheme="minorHAnsi"/>
          <w:color w:val="404040" w:themeColor="text1" w:themeTint="BF"/>
        </w:rPr>
        <w:t xml:space="preserve">. </w:t>
      </w:r>
      <w:r>
        <w:rPr>
          <w:rFonts w:cstheme="minorHAnsi"/>
          <w:color w:val="404040" w:themeColor="text1" w:themeTint="BF"/>
        </w:rPr>
        <w:t>J</w:t>
      </w:r>
      <w:r w:rsidRPr="007622D9">
        <w:rPr>
          <w:rFonts w:cstheme="minorHAnsi"/>
          <w:color w:val="404040" w:themeColor="text1" w:themeTint="BF"/>
        </w:rPr>
        <w:t xml:space="preserve">sou stručně zmíněny </w:t>
      </w:r>
      <w:r>
        <w:rPr>
          <w:rFonts w:cstheme="minorHAnsi"/>
          <w:color w:val="404040" w:themeColor="text1" w:themeTint="BF"/>
        </w:rPr>
        <w:t xml:space="preserve">i </w:t>
      </w:r>
      <w:r w:rsidRPr="007622D9">
        <w:rPr>
          <w:rFonts w:cstheme="minorHAnsi"/>
          <w:color w:val="404040" w:themeColor="text1" w:themeTint="BF"/>
        </w:rPr>
        <w:t xml:space="preserve">další důležité suroviny pro použití v bateriích, jako mangan, hliník, měď, cín, křemík, hořčík, germanium, indium, antimon a prvky vzácných zemin (REE), ale </w:t>
      </w:r>
      <w:r>
        <w:rPr>
          <w:rFonts w:cstheme="minorHAnsi"/>
          <w:color w:val="404040" w:themeColor="text1" w:themeTint="BF"/>
        </w:rPr>
        <w:t xml:space="preserve">tyto </w:t>
      </w:r>
      <w:r w:rsidRPr="007622D9">
        <w:rPr>
          <w:rFonts w:cstheme="minorHAnsi"/>
          <w:color w:val="404040" w:themeColor="text1" w:themeTint="BF"/>
        </w:rPr>
        <w:t xml:space="preserve">vyžadují podrobnější analýzu. REE jsou také materiály, které </w:t>
      </w:r>
      <w:r>
        <w:rPr>
          <w:rFonts w:cstheme="minorHAnsi"/>
          <w:color w:val="404040" w:themeColor="text1" w:themeTint="BF"/>
        </w:rPr>
        <w:t xml:space="preserve">mají uplatnění v </w:t>
      </w:r>
      <w:r w:rsidRPr="007622D9">
        <w:rPr>
          <w:rFonts w:cstheme="minorHAnsi"/>
          <w:color w:val="404040" w:themeColor="text1" w:themeTint="BF"/>
        </w:rPr>
        <w:t>elektromobilit</w:t>
      </w:r>
      <w:r>
        <w:rPr>
          <w:rFonts w:cstheme="minorHAnsi"/>
          <w:color w:val="404040" w:themeColor="text1" w:themeTint="BF"/>
        </w:rPr>
        <w:t>ě</w:t>
      </w:r>
      <w:r w:rsidRPr="007622D9">
        <w:rPr>
          <w:rFonts w:cstheme="minorHAnsi"/>
          <w:color w:val="404040" w:themeColor="text1" w:themeTint="BF"/>
        </w:rPr>
        <w:t>, zejména u elektrických trakčních motorů. Některé z</w:t>
      </w:r>
      <w:r>
        <w:rPr>
          <w:rFonts w:cstheme="minorHAnsi"/>
          <w:color w:val="404040" w:themeColor="text1" w:themeTint="BF"/>
        </w:rPr>
        <w:t> </w:t>
      </w:r>
      <w:r w:rsidRPr="007622D9">
        <w:rPr>
          <w:rFonts w:cstheme="minorHAnsi"/>
          <w:color w:val="404040" w:themeColor="text1" w:themeTint="BF"/>
        </w:rPr>
        <w:t xml:space="preserve">těchto materiálů mají velký ekonomický význam a současně mají vysoké riziko dodávek. Mezi materiály, které se používají v Li-iontových </w:t>
      </w:r>
      <w:r>
        <w:rPr>
          <w:rFonts w:cstheme="minorHAnsi"/>
          <w:color w:val="404040" w:themeColor="text1" w:themeTint="BF"/>
        </w:rPr>
        <w:t>článcích</w:t>
      </w:r>
      <w:r w:rsidRPr="007622D9">
        <w:rPr>
          <w:rFonts w:cstheme="minorHAnsi"/>
          <w:color w:val="404040" w:themeColor="text1" w:themeTint="BF"/>
        </w:rPr>
        <w:t xml:space="preserve">, jsou tři </w:t>
      </w:r>
      <w:r>
        <w:rPr>
          <w:rFonts w:cstheme="minorHAnsi"/>
          <w:color w:val="404040" w:themeColor="text1" w:themeTint="BF"/>
        </w:rPr>
        <w:t>materiály Komisí</w:t>
      </w:r>
      <w:r w:rsidRPr="007622D9">
        <w:rPr>
          <w:rFonts w:cstheme="minorHAnsi"/>
          <w:color w:val="404040" w:themeColor="text1" w:themeTint="BF"/>
        </w:rPr>
        <w:t xml:space="preserve"> uvede</w:t>
      </w:r>
      <w:r>
        <w:rPr>
          <w:rFonts w:cstheme="minorHAnsi"/>
          <w:color w:val="404040" w:themeColor="text1" w:themeTint="BF"/>
        </w:rPr>
        <w:t>ny jako kritické suroviny (CRM)</w:t>
      </w:r>
      <w:r w:rsidRPr="007622D9">
        <w:rPr>
          <w:rFonts w:cstheme="minorHAnsi"/>
          <w:color w:val="404040" w:themeColor="text1" w:themeTint="BF"/>
        </w:rPr>
        <w:t>, a</w:t>
      </w:r>
      <w:r>
        <w:rPr>
          <w:rFonts w:cstheme="minorHAnsi"/>
          <w:color w:val="404040" w:themeColor="text1" w:themeTint="BF"/>
        </w:rPr>
        <w:t> </w:t>
      </w:r>
      <w:r w:rsidRPr="007622D9">
        <w:rPr>
          <w:rFonts w:cstheme="minorHAnsi"/>
          <w:color w:val="404040" w:themeColor="text1" w:themeTint="BF"/>
        </w:rPr>
        <w:t xml:space="preserve">to </w:t>
      </w:r>
      <w:r w:rsidRPr="00B15430">
        <w:rPr>
          <w:rFonts w:cstheme="minorHAnsi"/>
          <w:b/>
          <w:color w:val="404040" w:themeColor="text1" w:themeTint="BF"/>
        </w:rPr>
        <w:t>kobalt, přírodní grafit a křemík</w:t>
      </w:r>
      <w:r w:rsidRPr="007622D9">
        <w:rPr>
          <w:rFonts w:cstheme="minorHAnsi"/>
          <w:color w:val="404040" w:themeColor="text1" w:themeTint="BF"/>
        </w:rPr>
        <w:t>. Lithium ne</w:t>
      </w:r>
      <w:r>
        <w:rPr>
          <w:rFonts w:cstheme="minorHAnsi"/>
          <w:color w:val="404040" w:themeColor="text1" w:themeTint="BF"/>
        </w:rPr>
        <w:t>patří mezi</w:t>
      </w:r>
      <w:r w:rsidRPr="007622D9">
        <w:rPr>
          <w:rFonts w:cstheme="minorHAnsi"/>
          <w:color w:val="404040" w:themeColor="text1" w:themeTint="BF"/>
        </w:rPr>
        <w:t xml:space="preserve"> CRM, ale má rost</w:t>
      </w:r>
      <w:r>
        <w:rPr>
          <w:rFonts w:cstheme="minorHAnsi"/>
          <w:color w:val="404040" w:themeColor="text1" w:themeTint="BF"/>
        </w:rPr>
        <w:t xml:space="preserve">oucí význam pro </w:t>
      </w:r>
      <w:r w:rsidRPr="007622D9">
        <w:rPr>
          <w:rFonts w:cstheme="minorHAnsi"/>
          <w:color w:val="404040" w:themeColor="text1" w:themeTint="BF"/>
        </w:rPr>
        <w:t>Li-ion</w:t>
      </w:r>
      <w:r>
        <w:rPr>
          <w:rFonts w:cstheme="minorHAnsi"/>
          <w:color w:val="404040" w:themeColor="text1" w:themeTint="BF"/>
        </w:rPr>
        <w:t xml:space="preserve"> baterie</w:t>
      </w:r>
      <w:r w:rsidRPr="007622D9">
        <w:rPr>
          <w:rFonts w:cstheme="minorHAnsi"/>
          <w:color w:val="404040" w:themeColor="text1" w:themeTint="BF"/>
        </w:rPr>
        <w:t>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Základními problémy k řešení jsou: </w:t>
      </w:r>
    </w:p>
    <w:p w:rsidR="005942E7" w:rsidRDefault="005942E7" w:rsidP="00B6003D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  <w:color w:val="404040" w:themeColor="text1" w:themeTint="BF"/>
        </w:rPr>
      </w:pPr>
      <w:r w:rsidRPr="001F42E7">
        <w:rPr>
          <w:rFonts w:cstheme="minorHAnsi"/>
          <w:color w:val="404040" w:themeColor="text1" w:themeTint="BF"/>
        </w:rPr>
        <w:t>znalosti o surovinách</w:t>
      </w:r>
      <w:r>
        <w:rPr>
          <w:rFonts w:cstheme="minorHAnsi"/>
          <w:color w:val="404040" w:themeColor="text1" w:themeTint="BF"/>
        </w:rPr>
        <w:t xml:space="preserve"> pro výrobu baterií</w:t>
      </w:r>
    </w:p>
    <w:p w:rsidR="005942E7" w:rsidRDefault="005942E7" w:rsidP="00B6003D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potřeba na</w:t>
      </w:r>
      <w:r w:rsidRPr="001F42E7">
        <w:rPr>
          <w:rFonts w:cstheme="minorHAnsi"/>
          <w:color w:val="404040" w:themeColor="text1" w:themeTint="BF"/>
        </w:rPr>
        <w:t>výšení výroby primárních a druhotných surovin v</w:t>
      </w:r>
      <w:r>
        <w:rPr>
          <w:rFonts w:cstheme="minorHAnsi"/>
          <w:color w:val="404040" w:themeColor="text1" w:themeTint="BF"/>
        </w:rPr>
        <w:t> </w:t>
      </w:r>
      <w:r w:rsidRPr="001F42E7">
        <w:rPr>
          <w:rFonts w:cstheme="minorHAnsi"/>
          <w:color w:val="404040" w:themeColor="text1" w:themeTint="BF"/>
        </w:rPr>
        <w:t>EU</w:t>
      </w:r>
    </w:p>
    <w:p w:rsidR="005942E7" w:rsidRDefault="005942E7" w:rsidP="00B6003D">
      <w:pPr>
        <w:pStyle w:val="Odstavecseseznamem"/>
        <w:numPr>
          <w:ilvl w:val="1"/>
          <w:numId w:val="24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Evropská domácí</w:t>
      </w:r>
      <w:r w:rsidRPr="006C687A">
        <w:rPr>
          <w:rFonts w:cstheme="minorHAnsi"/>
          <w:color w:val="404040" w:themeColor="text1" w:themeTint="BF"/>
        </w:rPr>
        <w:t xml:space="preserve"> dodávka surovin </w:t>
      </w:r>
      <w:r>
        <w:rPr>
          <w:rFonts w:cstheme="minorHAnsi"/>
          <w:color w:val="404040" w:themeColor="text1" w:themeTint="BF"/>
        </w:rPr>
        <w:t>pro výrobu baterií</w:t>
      </w:r>
      <w:r w:rsidRPr="006C687A">
        <w:rPr>
          <w:rFonts w:cstheme="minorHAnsi"/>
          <w:color w:val="404040" w:themeColor="text1" w:themeTint="BF"/>
        </w:rPr>
        <w:t xml:space="preserve"> je v</w:t>
      </w:r>
      <w:r>
        <w:rPr>
          <w:rFonts w:cstheme="minorHAnsi"/>
          <w:color w:val="404040" w:themeColor="text1" w:themeTint="BF"/>
        </w:rPr>
        <w:t xml:space="preserve"> současnosti velmi omezená, a </w:t>
      </w:r>
      <w:r w:rsidRPr="006C687A">
        <w:rPr>
          <w:rFonts w:cstheme="minorHAnsi"/>
          <w:color w:val="404040" w:themeColor="text1" w:themeTint="BF"/>
        </w:rPr>
        <w:t>to navzdory dobrému minerálnímu potenciálu v EU.</w:t>
      </w:r>
      <w:r>
        <w:rPr>
          <w:rFonts w:cstheme="minorHAnsi"/>
          <w:color w:val="404040" w:themeColor="text1" w:themeTint="BF"/>
        </w:rPr>
        <w:t xml:space="preserve"> </w:t>
      </w:r>
      <w:r w:rsidRPr="006C687A">
        <w:rPr>
          <w:rFonts w:cstheme="minorHAnsi"/>
          <w:color w:val="404040" w:themeColor="text1" w:themeTint="BF"/>
        </w:rPr>
        <w:t xml:space="preserve">Potvrzuje se, že EU získává primární suroviny z baterií převážně ze třetích zemí, jako je Demokratická republika Kongo, Rusko, Chile a Brazílie, a že existuje potenciál pro zvýšení výroby primárních a druhotných surovin v EU. Ukazuje se také, že existují některé překážky pro využití potenciálu EU, jako je: </w:t>
      </w:r>
      <w:r w:rsidRPr="00B15430">
        <w:rPr>
          <w:rFonts w:cstheme="minorHAnsi"/>
          <w:b/>
          <w:color w:val="404040" w:themeColor="text1" w:themeTint="BF"/>
        </w:rPr>
        <w:t>nedostatek geologických údajů</w:t>
      </w:r>
      <w:r w:rsidRPr="006C687A">
        <w:rPr>
          <w:rFonts w:cstheme="minorHAnsi"/>
          <w:color w:val="404040" w:themeColor="text1" w:themeTint="BF"/>
        </w:rPr>
        <w:t xml:space="preserve"> potřebných k objevení hlubších ložisek; </w:t>
      </w:r>
      <w:r w:rsidRPr="00B15430">
        <w:rPr>
          <w:rFonts w:cstheme="minorHAnsi"/>
          <w:b/>
          <w:color w:val="404040" w:themeColor="text1" w:themeTint="BF"/>
        </w:rPr>
        <w:t>obtížný přístup ke známým ložiskům</w:t>
      </w:r>
      <w:r w:rsidRPr="006C687A">
        <w:rPr>
          <w:rFonts w:cstheme="minorHAnsi"/>
          <w:color w:val="404040" w:themeColor="text1" w:themeTint="BF"/>
        </w:rPr>
        <w:t xml:space="preserve">; </w:t>
      </w:r>
      <w:r w:rsidRPr="00B15430">
        <w:rPr>
          <w:rFonts w:cstheme="minorHAnsi"/>
          <w:b/>
          <w:color w:val="404040" w:themeColor="text1" w:themeTint="BF"/>
        </w:rPr>
        <w:t>slabá integrace územního plánování a těžby</w:t>
      </w:r>
      <w:r w:rsidRPr="00B15430">
        <w:rPr>
          <w:rFonts w:cstheme="minorHAnsi"/>
          <w:color w:val="404040" w:themeColor="text1" w:themeTint="BF"/>
        </w:rPr>
        <w:t>,</w:t>
      </w:r>
      <w:r w:rsidRPr="006C687A">
        <w:rPr>
          <w:rFonts w:cstheme="minorHAnsi"/>
          <w:color w:val="404040" w:themeColor="text1" w:themeTint="BF"/>
        </w:rPr>
        <w:t xml:space="preserve"> </w:t>
      </w:r>
      <w:r w:rsidRPr="00B15430">
        <w:rPr>
          <w:rFonts w:cstheme="minorHAnsi"/>
          <w:b/>
          <w:color w:val="404040" w:themeColor="text1" w:themeTint="BF"/>
        </w:rPr>
        <w:t>různé regulatorní podmínky</w:t>
      </w:r>
      <w:r w:rsidRPr="006C687A">
        <w:rPr>
          <w:rFonts w:cstheme="minorHAnsi"/>
          <w:color w:val="404040" w:themeColor="text1" w:themeTint="BF"/>
        </w:rPr>
        <w:t xml:space="preserve"> v celé E</w:t>
      </w:r>
      <w:r>
        <w:rPr>
          <w:rFonts w:cstheme="minorHAnsi"/>
          <w:color w:val="404040" w:themeColor="text1" w:themeTint="BF"/>
        </w:rPr>
        <w:t xml:space="preserve">U, </w:t>
      </w:r>
      <w:r w:rsidRPr="00B15430">
        <w:rPr>
          <w:rFonts w:cstheme="minorHAnsi"/>
          <w:b/>
          <w:color w:val="404040" w:themeColor="text1" w:themeTint="BF"/>
        </w:rPr>
        <w:t>nízké povědomí veřejnosti</w:t>
      </w:r>
      <w:r>
        <w:rPr>
          <w:rFonts w:cstheme="minorHAnsi"/>
          <w:color w:val="404040" w:themeColor="text1" w:themeTint="BF"/>
        </w:rPr>
        <w:t xml:space="preserve"> o </w:t>
      </w:r>
      <w:r w:rsidRPr="006C687A">
        <w:rPr>
          <w:rFonts w:cstheme="minorHAnsi"/>
          <w:color w:val="404040" w:themeColor="text1" w:themeTint="BF"/>
        </w:rPr>
        <w:t xml:space="preserve">surovinách a </w:t>
      </w:r>
      <w:r w:rsidRPr="00B15430">
        <w:rPr>
          <w:rFonts w:cstheme="minorHAnsi"/>
          <w:b/>
          <w:color w:val="404040" w:themeColor="text1" w:themeTint="BF"/>
        </w:rPr>
        <w:t>odpor k těžební činnosti</w:t>
      </w:r>
      <w:r w:rsidRPr="006C687A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1"/>
          <w:numId w:val="24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Podobně </w:t>
      </w:r>
      <w:r w:rsidRPr="00B15430">
        <w:rPr>
          <w:rFonts w:cstheme="minorHAnsi"/>
          <w:b/>
          <w:color w:val="404040" w:themeColor="text1" w:themeTint="BF"/>
        </w:rPr>
        <w:t xml:space="preserve">recyklace </w:t>
      </w:r>
      <w:r w:rsidRPr="006C687A">
        <w:rPr>
          <w:rFonts w:cstheme="minorHAnsi"/>
          <w:color w:val="404040" w:themeColor="text1" w:themeTint="BF"/>
        </w:rPr>
        <w:t xml:space="preserve">materiálů </w:t>
      </w:r>
      <w:r>
        <w:rPr>
          <w:rFonts w:cstheme="minorHAnsi"/>
          <w:color w:val="404040" w:themeColor="text1" w:themeTint="BF"/>
        </w:rPr>
        <w:t xml:space="preserve">z baterií </w:t>
      </w:r>
      <w:r w:rsidRPr="006C687A">
        <w:rPr>
          <w:rFonts w:cstheme="minorHAnsi"/>
          <w:color w:val="404040" w:themeColor="text1" w:themeTint="BF"/>
        </w:rPr>
        <w:t xml:space="preserve">v Evropě dosud </w:t>
      </w:r>
      <w:r w:rsidRPr="00B15430">
        <w:rPr>
          <w:rFonts w:cstheme="minorHAnsi"/>
          <w:b/>
          <w:color w:val="404040" w:themeColor="text1" w:themeTint="BF"/>
        </w:rPr>
        <w:t>nedosáhla svého plného potenciálu</w:t>
      </w:r>
      <w:r w:rsidRPr="006C687A">
        <w:rPr>
          <w:rFonts w:cstheme="minorHAnsi"/>
          <w:color w:val="404040" w:themeColor="text1" w:themeTint="BF"/>
        </w:rPr>
        <w:t>. Nikl je recyklován</w:t>
      </w:r>
      <w:r>
        <w:rPr>
          <w:rFonts w:cstheme="minorHAnsi"/>
          <w:color w:val="404040" w:themeColor="text1" w:themeTint="BF"/>
        </w:rPr>
        <w:t xml:space="preserve"> ve velké míře</w:t>
      </w:r>
      <w:r w:rsidRPr="006C687A">
        <w:rPr>
          <w:rFonts w:cstheme="minorHAnsi"/>
          <w:color w:val="404040" w:themeColor="text1" w:themeTint="BF"/>
        </w:rPr>
        <w:t xml:space="preserve"> a v současné době pokrývá přibližně 34</w:t>
      </w:r>
      <w:r>
        <w:rPr>
          <w:rFonts w:cstheme="minorHAnsi"/>
          <w:color w:val="404040" w:themeColor="text1" w:themeTint="BF"/>
        </w:rPr>
        <w:t xml:space="preserve"> </w:t>
      </w:r>
      <w:r w:rsidRPr="006C687A">
        <w:rPr>
          <w:rFonts w:cstheme="minorHAnsi"/>
          <w:color w:val="404040" w:themeColor="text1" w:themeTint="BF"/>
        </w:rPr>
        <w:t xml:space="preserve">% spotřeby EU. Celková míra recyklace u kobaltu je také vysoká </w:t>
      </w:r>
      <w:r>
        <w:rPr>
          <w:rFonts w:cstheme="minorHAnsi"/>
          <w:color w:val="404040" w:themeColor="text1" w:themeTint="BF"/>
        </w:rPr>
        <w:t>– 68%</w:t>
      </w:r>
      <w:r w:rsidRPr="006C687A">
        <w:rPr>
          <w:rFonts w:cstheme="minorHAnsi"/>
          <w:color w:val="404040" w:themeColor="text1" w:themeTint="BF"/>
        </w:rPr>
        <w:t xml:space="preserve">, ale pokrývá jen malou část rostoucí poptávky. </w:t>
      </w:r>
      <w:r>
        <w:rPr>
          <w:rFonts w:cstheme="minorHAnsi"/>
          <w:color w:val="404040" w:themeColor="text1" w:themeTint="BF"/>
        </w:rPr>
        <w:t>Zpracování a obnova</w:t>
      </w:r>
      <w:r w:rsidRPr="006C687A">
        <w:rPr>
          <w:rFonts w:cstheme="minorHAnsi"/>
          <w:color w:val="404040" w:themeColor="text1" w:themeTint="BF"/>
        </w:rPr>
        <w:t xml:space="preserve"> lithia a grafitu z baterií </w:t>
      </w:r>
      <w:r>
        <w:rPr>
          <w:rFonts w:cstheme="minorHAnsi"/>
          <w:color w:val="404040" w:themeColor="text1" w:themeTint="BF"/>
        </w:rPr>
        <w:t xml:space="preserve">jsou v současné době </w:t>
      </w:r>
      <w:r w:rsidRPr="006C687A">
        <w:rPr>
          <w:rFonts w:cstheme="minorHAnsi"/>
          <w:color w:val="404040" w:themeColor="text1" w:themeTint="BF"/>
        </w:rPr>
        <w:t>technicky provediteln</w:t>
      </w:r>
      <w:r>
        <w:rPr>
          <w:rFonts w:cstheme="minorHAnsi"/>
          <w:color w:val="404040" w:themeColor="text1" w:themeTint="BF"/>
        </w:rPr>
        <w:t>é</w:t>
      </w:r>
      <w:r w:rsidRPr="006C687A">
        <w:rPr>
          <w:rFonts w:cstheme="minorHAnsi"/>
          <w:color w:val="404040" w:themeColor="text1" w:themeTint="BF"/>
        </w:rPr>
        <w:t>, ale stále ne</w:t>
      </w:r>
      <w:r>
        <w:rPr>
          <w:rFonts w:cstheme="minorHAnsi"/>
          <w:color w:val="404040" w:themeColor="text1" w:themeTint="BF"/>
        </w:rPr>
        <w:t>jsou</w:t>
      </w:r>
      <w:r w:rsidRPr="006C687A">
        <w:rPr>
          <w:rFonts w:cstheme="minorHAnsi"/>
          <w:color w:val="404040" w:themeColor="text1" w:themeTint="BF"/>
        </w:rPr>
        <w:t xml:space="preserve"> ekonomicky </w:t>
      </w:r>
      <w:r>
        <w:rPr>
          <w:rFonts w:cstheme="minorHAnsi"/>
          <w:color w:val="404040" w:themeColor="text1" w:themeTint="BF"/>
        </w:rPr>
        <w:t>rentabilní</w:t>
      </w:r>
      <w:r w:rsidRPr="006C687A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1"/>
          <w:numId w:val="24"/>
        </w:numPr>
        <w:spacing w:after="0"/>
        <w:jc w:val="both"/>
        <w:rPr>
          <w:rFonts w:cstheme="minorHAnsi"/>
          <w:color w:val="404040" w:themeColor="text1" w:themeTint="BF"/>
        </w:rPr>
      </w:pPr>
      <w:r w:rsidRPr="002421C5">
        <w:rPr>
          <w:rFonts w:cstheme="minorHAnsi"/>
          <w:color w:val="404040" w:themeColor="text1" w:themeTint="BF"/>
        </w:rPr>
        <w:t>N</w:t>
      </w:r>
      <w:r>
        <w:rPr>
          <w:rFonts w:cstheme="minorHAnsi"/>
          <w:color w:val="404040" w:themeColor="text1" w:themeTint="BF"/>
        </w:rPr>
        <w:t>áhrada</w:t>
      </w:r>
      <w:r w:rsidRPr="002421C5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CRM</w:t>
      </w:r>
      <w:r w:rsidRPr="002421C5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 xml:space="preserve">jinými </w:t>
      </w:r>
      <w:r w:rsidRPr="002421C5">
        <w:rPr>
          <w:rFonts w:cstheme="minorHAnsi"/>
          <w:color w:val="404040" w:themeColor="text1" w:themeTint="BF"/>
        </w:rPr>
        <w:t xml:space="preserve">surovinami a lepší účinnost zdrojů také mohou </w:t>
      </w:r>
      <w:r>
        <w:rPr>
          <w:rFonts w:cstheme="minorHAnsi"/>
          <w:color w:val="404040" w:themeColor="text1" w:themeTint="BF"/>
        </w:rPr>
        <w:t>přispět k oběhovému</w:t>
      </w:r>
      <w:r w:rsidRPr="002421C5">
        <w:rPr>
          <w:rFonts w:cstheme="minorHAnsi"/>
          <w:color w:val="404040" w:themeColor="text1" w:themeTint="BF"/>
        </w:rPr>
        <w:t xml:space="preserve"> hospodářství tím, že sníží tlak na poptávku </w:t>
      </w:r>
      <w:r>
        <w:rPr>
          <w:rFonts w:cstheme="minorHAnsi"/>
          <w:color w:val="404040" w:themeColor="text1" w:themeTint="BF"/>
        </w:rPr>
        <w:t xml:space="preserve">a </w:t>
      </w:r>
      <w:r w:rsidRPr="002421C5">
        <w:rPr>
          <w:rFonts w:cstheme="minorHAnsi"/>
          <w:color w:val="404040" w:themeColor="text1" w:themeTint="BF"/>
        </w:rPr>
        <w:t xml:space="preserve">nabídku. </w:t>
      </w:r>
      <w:r w:rsidRPr="00B15430">
        <w:rPr>
          <w:rFonts w:cstheme="minorHAnsi"/>
          <w:b/>
          <w:color w:val="404040" w:themeColor="text1" w:themeTint="BF"/>
        </w:rPr>
        <w:t>Materiálová náhrada</w:t>
      </w:r>
      <w:r w:rsidRPr="002421C5">
        <w:rPr>
          <w:rFonts w:cstheme="minorHAnsi"/>
          <w:color w:val="404040" w:themeColor="text1" w:themeTint="BF"/>
        </w:rPr>
        <w:t xml:space="preserve"> niklu a kobaltu v bateriích je omezená. </w:t>
      </w:r>
      <w:r>
        <w:rPr>
          <w:rFonts w:cstheme="minorHAnsi"/>
          <w:color w:val="404040" w:themeColor="text1" w:themeTint="BF"/>
        </w:rPr>
        <w:t>N</w:t>
      </w:r>
      <w:r w:rsidRPr="002421C5">
        <w:rPr>
          <w:rFonts w:cstheme="minorHAnsi"/>
          <w:color w:val="404040" w:themeColor="text1" w:themeTint="BF"/>
        </w:rPr>
        <w:t>áhrad</w:t>
      </w:r>
      <w:r>
        <w:rPr>
          <w:rFonts w:cstheme="minorHAnsi"/>
          <w:color w:val="404040" w:themeColor="text1" w:themeTint="BF"/>
        </w:rPr>
        <w:t>a</w:t>
      </w:r>
      <w:r w:rsidRPr="002421C5">
        <w:rPr>
          <w:rFonts w:cstheme="minorHAnsi"/>
          <w:color w:val="404040" w:themeColor="text1" w:themeTint="BF"/>
        </w:rPr>
        <w:t xml:space="preserve"> lithi</w:t>
      </w:r>
      <w:r>
        <w:rPr>
          <w:rFonts w:cstheme="minorHAnsi"/>
          <w:color w:val="404040" w:themeColor="text1" w:themeTint="BF"/>
        </w:rPr>
        <w:t>a</w:t>
      </w:r>
      <w:r w:rsidRPr="002421C5">
        <w:rPr>
          <w:rFonts w:cstheme="minorHAnsi"/>
          <w:color w:val="404040" w:themeColor="text1" w:themeTint="BF"/>
        </w:rPr>
        <w:t xml:space="preserve"> a grafitu je možn</w:t>
      </w:r>
      <w:r>
        <w:rPr>
          <w:rFonts w:cstheme="minorHAnsi"/>
          <w:color w:val="404040" w:themeColor="text1" w:themeTint="BF"/>
        </w:rPr>
        <w:t>á</w:t>
      </w:r>
      <w:r w:rsidRPr="002421C5">
        <w:rPr>
          <w:rFonts w:cstheme="minorHAnsi"/>
          <w:color w:val="404040" w:themeColor="text1" w:themeTint="BF"/>
        </w:rPr>
        <w:t xml:space="preserve">, ale za vyšší </w:t>
      </w:r>
      <w:r>
        <w:rPr>
          <w:rFonts w:cstheme="minorHAnsi"/>
          <w:color w:val="404040" w:themeColor="text1" w:themeTint="BF"/>
        </w:rPr>
        <w:t>náklady</w:t>
      </w:r>
      <w:r w:rsidRPr="002421C5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0"/>
          <w:numId w:val="24"/>
        </w:numPr>
        <w:spacing w:after="0"/>
        <w:jc w:val="both"/>
        <w:rPr>
          <w:rFonts w:cstheme="minorHAnsi"/>
          <w:color w:val="404040" w:themeColor="text1" w:themeTint="BF"/>
        </w:rPr>
      </w:pPr>
      <w:r w:rsidRPr="00B15430">
        <w:rPr>
          <w:rFonts w:cstheme="minorHAnsi"/>
          <w:b/>
          <w:color w:val="404040" w:themeColor="text1" w:themeTint="BF"/>
        </w:rPr>
        <w:t>zajištění přístupu k surovinám</w:t>
      </w:r>
      <w:r w:rsidRPr="001F42E7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(pro výrobu</w:t>
      </w:r>
      <w:r w:rsidRPr="001F42E7">
        <w:rPr>
          <w:rFonts w:cstheme="minorHAnsi"/>
          <w:color w:val="404040" w:themeColor="text1" w:themeTint="BF"/>
        </w:rPr>
        <w:t xml:space="preserve"> bateri</w:t>
      </w:r>
      <w:r>
        <w:rPr>
          <w:rFonts w:cstheme="minorHAnsi"/>
          <w:color w:val="404040" w:themeColor="text1" w:themeTint="BF"/>
        </w:rPr>
        <w:t>í)</w:t>
      </w:r>
      <w:r w:rsidRPr="001F42E7">
        <w:rPr>
          <w:rFonts w:cstheme="minorHAnsi"/>
          <w:color w:val="404040" w:themeColor="text1" w:themeTint="BF"/>
        </w:rPr>
        <w:t xml:space="preserve"> na globálních trzích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D338EB" w:rsidRDefault="00316E66" w:rsidP="005942E7">
      <w:p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hyperlink r:id="rId123" w:history="1">
        <w:r w:rsidR="005942E7" w:rsidRPr="00D338EB">
          <w:rPr>
            <w:rStyle w:val="Hypertextovodkaz"/>
            <w:rFonts w:ascii="Calibri" w:hAnsi="Calibri" w:cs="Calibri"/>
            <w:b/>
          </w:rPr>
          <w:t>Strategický akční plán pro baterie</w:t>
        </w:r>
      </w:hyperlink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99546B">
        <w:rPr>
          <w:rFonts w:cstheme="minorHAnsi"/>
          <w:color w:val="404040" w:themeColor="text1" w:themeTint="BF"/>
        </w:rPr>
        <w:t xml:space="preserve">Komise </w:t>
      </w:r>
      <w:r>
        <w:rPr>
          <w:rFonts w:cstheme="minorHAnsi"/>
          <w:color w:val="404040" w:themeColor="text1" w:themeTint="BF"/>
        </w:rPr>
        <w:t xml:space="preserve">plánem </w:t>
      </w:r>
      <w:r w:rsidRPr="0099546B">
        <w:rPr>
          <w:rFonts w:cstheme="minorHAnsi"/>
          <w:color w:val="404040" w:themeColor="text1" w:themeTint="BF"/>
        </w:rPr>
        <w:t>podporuje integrovaný evropský přístup, který pokrývá celý hodnotový řetězec ekosystému baterií a zaměřuje se na udržitelnost, počínaje těžbou a zpracováním surovin, fází návrhu a výroby bateriových článků a akumulátorů a jejich využití, druh</w:t>
      </w:r>
      <w:r>
        <w:rPr>
          <w:rFonts w:cstheme="minorHAnsi"/>
          <w:color w:val="404040" w:themeColor="text1" w:themeTint="BF"/>
        </w:rPr>
        <w:t>otného</w:t>
      </w:r>
      <w:r w:rsidRPr="0099546B">
        <w:rPr>
          <w:rFonts w:cstheme="minorHAnsi"/>
          <w:color w:val="404040" w:themeColor="text1" w:themeTint="BF"/>
        </w:rPr>
        <w:t xml:space="preserve"> p</w:t>
      </w:r>
      <w:r>
        <w:rPr>
          <w:rFonts w:cstheme="minorHAnsi"/>
          <w:color w:val="404040" w:themeColor="text1" w:themeTint="BF"/>
        </w:rPr>
        <w:t>oužití, recyklací a likvidací</w:t>
      </w:r>
      <w:r w:rsidRPr="0099546B">
        <w:rPr>
          <w:rFonts w:cstheme="minorHAnsi"/>
          <w:color w:val="404040" w:themeColor="text1" w:themeTint="BF"/>
        </w:rPr>
        <w:t>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lastRenderedPageBreak/>
        <w:t>Aby se Evropa stala lídrem</w:t>
      </w:r>
      <w:r w:rsidRPr="0099546B">
        <w:rPr>
          <w:rFonts w:cstheme="minorHAnsi"/>
          <w:color w:val="404040" w:themeColor="text1" w:themeTint="BF"/>
        </w:rPr>
        <w:t xml:space="preserve"> v udržitelné výrobě baterií a</w:t>
      </w:r>
      <w:r>
        <w:rPr>
          <w:rFonts w:cstheme="minorHAnsi"/>
          <w:color w:val="404040" w:themeColor="text1" w:themeTint="BF"/>
        </w:rPr>
        <w:t xml:space="preserve"> jejich používání (</w:t>
      </w:r>
      <w:r w:rsidRPr="0099546B">
        <w:rPr>
          <w:rFonts w:cstheme="minorHAnsi"/>
          <w:color w:val="404040" w:themeColor="text1" w:themeTint="BF"/>
        </w:rPr>
        <w:t xml:space="preserve">v kontextu </w:t>
      </w:r>
      <w:r>
        <w:rPr>
          <w:rFonts w:cstheme="minorHAnsi"/>
          <w:color w:val="404040" w:themeColor="text1" w:themeTint="BF"/>
        </w:rPr>
        <w:t xml:space="preserve">oběhového hospodářství), kombinuje </w:t>
      </w:r>
      <w:r w:rsidRPr="0099546B">
        <w:rPr>
          <w:rFonts w:cstheme="minorHAnsi"/>
          <w:color w:val="404040" w:themeColor="text1" w:themeTint="BF"/>
        </w:rPr>
        <w:t xml:space="preserve">plán cílená opatření na úrovni EU </w:t>
      </w:r>
      <w:r>
        <w:rPr>
          <w:rFonts w:cstheme="minorHAnsi"/>
          <w:color w:val="404040" w:themeColor="text1" w:themeTint="BF"/>
        </w:rPr>
        <w:t xml:space="preserve">zahrnující </w:t>
      </w:r>
      <w:r w:rsidRPr="00B15430">
        <w:rPr>
          <w:rFonts w:cstheme="minorHAnsi"/>
          <w:b/>
          <w:color w:val="404040" w:themeColor="text1" w:themeTint="BF"/>
        </w:rPr>
        <w:t>suroviny (primární a sekundární), výzkum a inovace, financování / investice, standardizace / regulace, obchod a rozvoj dovedností</w:t>
      </w:r>
      <w:r w:rsidRPr="0099546B">
        <w:rPr>
          <w:rFonts w:cstheme="minorHAnsi"/>
          <w:color w:val="404040" w:themeColor="text1" w:themeTint="BF"/>
        </w:rPr>
        <w:t>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SAP míří konkrétněji na:</w:t>
      </w:r>
    </w:p>
    <w:p w:rsidR="005942E7" w:rsidRPr="00B34E68" w:rsidRDefault="005942E7" w:rsidP="00B6003D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  <w:b/>
          <w:color w:val="404040" w:themeColor="text1" w:themeTint="BF"/>
        </w:rPr>
      </w:pPr>
      <w:r w:rsidRPr="00B34E68">
        <w:rPr>
          <w:rFonts w:cstheme="minorHAnsi"/>
          <w:b/>
          <w:color w:val="404040" w:themeColor="text1" w:themeTint="BF"/>
        </w:rPr>
        <w:t>zabezpečení přístupu k surovinám,</w:t>
      </w:r>
    </w:p>
    <w:p w:rsidR="005942E7" w:rsidRPr="00B34E68" w:rsidRDefault="005942E7" w:rsidP="00B6003D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  <w:b/>
          <w:color w:val="404040" w:themeColor="text1" w:themeTint="BF"/>
        </w:rPr>
      </w:pPr>
      <w:r w:rsidRPr="00B34E68">
        <w:rPr>
          <w:rFonts w:cstheme="minorHAnsi"/>
          <w:b/>
          <w:color w:val="404040" w:themeColor="text1" w:themeTint="BF"/>
        </w:rPr>
        <w:t>podporu výroby bateriových článků a plně konkurenceschopného hodnotového řetězce v Evropě,</w:t>
      </w:r>
    </w:p>
    <w:p w:rsidR="005942E7" w:rsidRPr="00B34E68" w:rsidRDefault="005942E7" w:rsidP="00B6003D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  <w:b/>
          <w:color w:val="404040" w:themeColor="text1" w:themeTint="BF"/>
        </w:rPr>
      </w:pPr>
      <w:r w:rsidRPr="00B34E68">
        <w:rPr>
          <w:rFonts w:cstheme="minorHAnsi"/>
          <w:b/>
          <w:color w:val="404040" w:themeColor="text1" w:themeTint="BF"/>
        </w:rPr>
        <w:t>posílení vedoucího postavení v průmyslu prostřednictvím usilovnějšího výzkumu a inovací v EU,</w:t>
      </w:r>
    </w:p>
    <w:p w:rsidR="005942E7" w:rsidRPr="00B34E68" w:rsidRDefault="005942E7" w:rsidP="00B6003D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  <w:b/>
          <w:color w:val="404040" w:themeColor="text1" w:themeTint="BF"/>
        </w:rPr>
      </w:pPr>
      <w:r w:rsidRPr="00B34E68">
        <w:rPr>
          <w:rFonts w:cstheme="minorHAnsi"/>
          <w:b/>
          <w:color w:val="404040" w:themeColor="text1" w:themeTint="BF"/>
        </w:rPr>
        <w:t>rozvíjení a posílení vysoce kvalifikované pracovní síly ve všech částech hodnotového řetězce,</w:t>
      </w:r>
    </w:p>
    <w:p w:rsidR="005942E7" w:rsidRPr="00B34E68" w:rsidRDefault="005942E7" w:rsidP="00B6003D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  <w:b/>
          <w:color w:val="404040" w:themeColor="text1" w:themeTint="BF"/>
        </w:rPr>
      </w:pPr>
      <w:r w:rsidRPr="00B34E68">
        <w:rPr>
          <w:rFonts w:cstheme="minorHAnsi"/>
          <w:b/>
          <w:color w:val="404040" w:themeColor="text1" w:themeTint="BF"/>
        </w:rPr>
        <w:t>podporu udržitelnosti průmyslu výroby bateriových článků v EU s nejnižší možnou environmentální stopou a</w:t>
      </w:r>
    </w:p>
    <w:p w:rsidR="005942E7" w:rsidRPr="00B34E68" w:rsidRDefault="005942E7" w:rsidP="00B6003D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  <w:b/>
          <w:color w:val="404040" w:themeColor="text1" w:themeTint="BF"/>
        </w:rPr>
      </w:pPr>
      <w:r w:rsidRPr="00B34E68">
        <w:rPr>
          <w:rFonts w:cstheme="minorHAnsi"/>
          <w:b/>
          <w:color w:val="404040" w:themeColor="text1" w:themeTint="BF"/>
        </w:rPr>
        <w:t>zajištění shody se širším akčním a regulačním rámcem.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Komise: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bude mapovat dostupnost primárních surovin, hodnotit potenciál samozásobování EU, předloží</w:t>
      </w:r>
      <w:r w:rsidRPr="00BD6331">
        <w:rPr>
          <w:rFonts w:cstheme="minorHAnsi"/>
          <w:color w:val="404040" w:themeColor="text1" w:themeTint="BF"/>
        </w:rPr>
        <w:t xml:space="preserve"> doporučení zaměřená na optimalizaci </w:t>
      </w:r>
      <w:r>
        <w:rPr>
          <w:rFonts w:cstheme="minorHAnsi"/>
          <w:color w:val="404040" w:themeColor="text1" w:themeTint="BF"/>
        </w:rPr>
        <w:t>surovin pro výrobu baterií</w:t>
      </w:r>
      <w:r w:rsidRPr="00BD6331">
        <w:rPr>
          <w:rFonts w:cstheme="minorHAnsi"/>
          <w:color w:val="404040" w:themeColor="text1" w:themeTint="BF"/>
        </w:rPr>
        <w:t xml:space="preserve"> v EU. [Q4 2018]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BD6331">
        <w:rPr>
          <w:rFonts w:cstheme="minorHAnsi"/>
          <w:color w:val="404040" w:themeColor="text1" w:themeTint="BF"/>
        </w:rPr>
        <w:t xml:space="preserve">využije všechny vhodné nástroje obchodní politiky </w:t>
      </w:r>
      <w:r>
        <w:rPr>
          <w:rFonts w:cstheme="minorHAnsi"/>
          <w:color w:val="404040" w:themeColor="text1" w:themeTint="BF"/>
        </w:rPr>
        <w:t>k </w:t>
      </w:r>
      <w:r w:rsidRPr="00BD6331">
        <w:rPr>
          <w:rFonts w:cstheme="minorHAnsi"/>
          <w:color w:val="404040" w:themeColor="text1" w:themeTint="BF"/>
        </w:rPr>
        <w:t>zajištění spravedlivého a udržitelného přístupu k surovinám ve třetích zemích a</w:t>
      </w:r>
      <w:r>
        <w:rPr>
          <w:rFonts w:cstheme="minorHAnsi"/>
          <w:color w:val="404040" w:themeColor="text1" w:themeTint="BF"/>
        </w:rPr>
        <w:t xml:space="preserve"> </w:t>
      </w:r>
      <w:r w:rsidRPr="00BD6331">
        <w:rPr>
          <w:rFonts w:cstheme="minorHAnsi"/>
          <w:color w:val="404040" w:themeColor="text1" w:themeTint="BF"/>
        </w:rPr>
        <w:t>k podpoře sociálně odpověd</w:t>
      </w:r>
      <w:r>
        <w:rPr>
          <w:rFonts w:cstheme="minorHAnsi"/>
          <w:color w:val="404040" w:themeColor="text1" w:themeTint="BF"/>
        </w:rPr>
        <w:t>ného těžby. [průběžně</w:t>
      </w:r>
      <w:r w:rsidRPr="00BD6331">
        <w:rPr>
          <w:rFonts w:cstheme="minorHAnsi"/>
          <w:color w:val="404040" w:themeColor="text1" w:themeTint="BF"/>
        </w:rPr>
        <w:t>]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BD6331">
        <w:rPr>
          <w:rFonts w:cstheme="minorHAnsi"/>
          <w:color w:val="404040" w:themeColor="text1" w:themeTint="BF"/>
        </w:rPr>
        <w:t>podporovat výzkum a inovace zaměřené na náklad</w:t>
      </w:r>
      <w:r>
        <w:rPr>
          <w:rFonts w:cstheme="minorHAnsi"/>
          <w:color w:val="404040" w:themeColor="text1" w:themeTint="BF"/>
        </w:rPr>
        <w:t>ově efektivní výrobu, náhradu a </w:t>
      </w:r>
      <w:r w:rsidRPr="00BD6331">
        <w:rPr>
          <w:rFonts w:cstheme="minorHAnsi"/>
          <w:color w:val="404040" w:themeColor="text1" w:themeTint="BF"/>
        </w:rPr>
        <w:t>efektivnější využívání kritických surovin pro baterie s cílem vypracov</w:t>
      </w:r>
      <w:r>
        <w:rPr>
          <w:rFonts w:cstheme="minorHAnsi"/>
          <w:color w:val="404040" w:themeColor="text1" w:themeTint="BF"/>
        </w:rPr>
        <w:t>ání standardů</w:t>
      </w:r>
      <w:r w:rsidRPr="00BD6331">
        <w:rPr>
          <w:rFonts w:cstheme="minorHAnsi"/>
          <w:color w:val="404040" w:themeColor="text1" w:themeTint="BF"/>
        </w:rPr>
        <w:t>. [2018-2020]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zahájí</w:t>
      </w:r>
      <w:r w:rsidRPr="00BD6331">
        <w:rPr>
          <w:rFonts w:cstheme="minorHAnsi"/>
          <w:color w:val="404040" w:themeColor="text1" w:themeTint="BF"/>
        </w:rPr>
        <w:t xml:space="preserve"> dialog s členskými státy </w:t>
      </w:r>
      <w:r>
        <w:rPr>
          <w:rFonts w:cstheme="minorHAnsi"/>
          <w:color w:val="404040" w:themeColor="text1" w:themeTint="BF"/>
        </w:rPr>
        <w:t>s cílem zjistit vhodnost surovinových politik, klauzulí pro těžbu a pobídek</w:t>
      </w:r>
      <w:r w:rsidRPr="00BD6331">
        <w:rPr>
          <w:rFonts w:cstheme="minorHAnsi"/>
          <w:color w:val="404040" w:themeColor="text1" w:themeTint="BF"/>
        </w:rPr>
        <w:t xml:space="preserve"> pro průzkum </w:t>
      </w:r>
      <w:r>
        <w:rPr>
          <w:rFonts w:cstheme="minorHAnsi"/>
          <w:color w:val="404040" w:themeColor="text1" w:themeTint="BF"/>
        </w:rPr>
        <w:t>za účelem</w:t>
      </w:r>
      <w:r w:rsidRPr="00BD6331">
        <w:rPr>
          <w:rFonts w:cstheme="minorHAnsi"/>
          <w:color w:val="404040" w:themeColor="text1" w:themeTint="BF"/>
        </w:rPr>
        <w:t xml:space="preserve"> řešení strategických potřeb materiálů. </w:t>
      </w:r>
      <w:r>
        <w:rPr>
          <w:rFonts w:cstheme="minorHAnsi"/>
          <w:color w:val="404040" w:themeColor="text1" w:themeTint="BF"/>
        </w:rPr>
        <w:t>Bude p</w:t>
      </w:r>
      <w:r w:rsidRPr="00BD6331">
        <w:rPr>
          <w:rFonts w:cstheme="minorHAnsi"/>
          <w:color w:val="404040" w:themeColor="text1" w:themeTint="BF"/>
        </w:rPr>
        <w:t>rezent</w:t>
      </w:r>
      <w:r>
        <w:rPr>
          <w:rFonts w:cstheme="minorHAnsi"/>
          <w:color w:val="404040" w:themeColor="text1" w:themeTint="BF"/>
        </w:rPr>
        <w:t>ovat</w:t>
      </w:r>
      <w:r w:rsidRPr="00BD6331">
        <w:rPr>
          <w:rFonts w:cstheme="minorHAnsi"/>
          <w:color w:val="404040" w:themeColor="text1" w:themeTint="BF"/>
        </w:rPr>
        <w:t xml:space="preserve"> výsledky tohoto cvičení v listopadu 2018. [Q4 2018]</w:t>
      </w:r>
    </w:p>
    <w:p w:rsidR="005942E7" w:rsidRPr="00BD6331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BD6331">
        <w:rPr>
          <w:rFonts w:cstheme="minorHAnsi"/>
          <w:color w:val="404040" w:themeColor="text1" w:themeTint="BF"/>
        </w:rPr>
        <w:t>pokračovat ve spolupráci se zainteresovanými stranami v celém hodnotovém řetězci, aby podporovaly a usnadňovaly projekty vedoucí k výrobě baterií nové generace a zavedly inovativní, integrovan</w:t>
      </w:r>
      <w:r>
        <w:rPr>
          <w:rFonts w:cstheme="minorHAnsi"/>
          <w:color w:val="404040" w:themeColor="text1" w:themeTint="BF"/>
        </w:rPr>
        <w:t>ý</w:t>
      </w:r>
      <w:r w:rsidRPr="00BD6331">
        <w:rPr>
          <w:rFonts w:cstheme="minorHAnsi"/>
          <w:color w:val="404040" w:themeColor="text1" w:themeTint="BF"/>
        </w:rPr>
        <w:t xml:space="preserve">, udržitelný a konkurenceschopný </w:t>
      </w:r>
      <w:r>
        <w:rPr>
          <w:rFonts w:cstheme="minorHAnsi"/>
          <w:color w:val="404040" w:themeColor="text1" w:themeTint="BF"/>
        </w:rPr>
        <w:t>hodnotový řetězec pro baterie v </w:t>
      </w:r>
      <w:r w:rsidRPr="00BD6331">
        <w:rPr>
          <w:rFonts w:cstheme="minorHAnsi"/>
          <w:color w:val="404040" w:themeColor="text1" w:themeTint="BF"/>
        </w:rPr>
        <w:t>Evropě. [2018-2019]</w:t>
      </w:r>
    </w:p>
    <w:p w:rsidR="005942E7" w:rsidRPr="00BD6331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se zapojí</w:t>
      </w:r>
      <w:r w:rsidRPr="00BD6331">
        <w:rPr>
          <w:rFonts w:cstheme="minorHAnsi"/>
          <w:color w:val="404040" w:themeColor="text1" w:themeTint="BF"/>
        </w:rPr>
        <w:t xml:space="preserve"> do pravidelného dialogu s příslušnými členskými státy</w:t>
      </w:r>
      <w:r>
        <w:rPr>
          <w:rFonts w:cstheme="minorHAnsi"/>
          <w:color w:val="404040" w:themeColor="text1" w:themeTint="BF"/>
        </w:rPr>
        <w:t xml:space="preserve"> (ČS)</w:t>
      </w:r>
      <w:r w:rsidRPr="00BD6331">
        <w:rPr>
          <w:rFonts w:cstheme="minorHAnsi"/>
          <w:color w:val="404040" w:themeColor="text1" w:themeTint="BF"/>
        </w:rPr>
        <w:t xml:space="preserve">, aby prozkoumali účinné způsoby společné podpory inovativních výrobních projektů, které překračují rámec nejmodernějších technologií, a co nejlépe shromáždí </w:t>
      </w:r>
      <w:r>
        <w:rPr>
          <w:rFonts w:cstheme="minorHAnsi"/>
          <w:color w:val="404040" w:themeColor="text1" w:themeTint="BF"/>
        </w:rPr>
        <w:t>evropské a národní</w:t>
      </w:r>
      <w:r w:rsidRPr="00BD6331">
        <w:rPr>
          <w:rFonts w:cstheme="minorHAnsi"/>
          <w:color w:val="404040" w:themeColor="text1" w:themeTint="BF"/>
        </w:rPr>
        <w:t xml:space="preserve"> zdroje za tímto účelem. </w:t>
      </w:r>
      <w:r>
        <w:rPr>
          <w:rFonts w:cstheme="minorHAnsi"/>
          <w:color w:val="404040" w:themeColor="text1" w:themeTint="BF"/>
        </w:rPr>
        <w:t>To by m</w:t>
      </w:r>
      <w:r w:rsidRPr="00BD6331">
        <w:rPr>
          <w:rFonts w:cstheme="minorHAnsi"/>
          <w:color w:val="404040" w:themeColor="text1" w:themeTint="BF"/>
        </w:rPr>
        <w:t xml:space="preserve">ohlo mít podobu </w:t>
      </w:r>
      <w:r>
        <w:rPr>
          <w:rFonts w:cstheme="minorHAnsi"/>
          <w:color w:val="404040" w:themeColor="text1" w:themeTint="BF"/>
        </w:rPr>
        <w:t>např. významného</w:t>
      </w:r>
      <w:r w:rsidRPr="00BD6331">
        <w:rPr>
          <w:rFonts w:cstheme="minorHAnsi"/>
          <w:color w:val="404040" w:themeColor="text1" w:themeTint="BF"/>
        </w:rPr>
        <w:t xml:space="preserve"> projektu společného evropského zájmu. [Q4 2018]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BD6331">
        <w:rPr>
          <w:rFonts w:cstheme="minorHAnsi"/>
          <w:color w:val="404040" w:themeColor="text1" w:themeTint="BF"/>
        </w:rPr>
        <w:t xml:space="preserve">nadále úzce spolupracovat se zainteresovanými </w:t>
      </w:r>
      <w:r>
        <w:rPr>
          <w:rFonts w:cstheme="minorHAnsi"/>
          <w:color w:val="404040" w:themeColor="text1" w:themeTint="BF"/>
        </w:rPr>
        <w:t>ČS</w:t>
      </w:r>
      <w:r w:rsidRPr="00BD6331">
        <w:rPr>
          <w:rFonts w:cstheme="minorHAnsi"/>
          <w:color w:val="404040" w:themeColor="text1" w:themeTint="BF"/>
        </w:rPr>
        <w:t xml:space="preserve"> a E</w:t>
      </w:r>
      <w:r>
        <w:rPr>
          <w:rFonts w:cstheme="minorHAnsi"/>
          <w:color w:val="404040" w:themeColor="text1" w:themeTint="BF"/>
        </w:rPr>
        <w:t>IB</w:t>
      </w:r>
      <w:r w:rsidRPr="00BD6331">
        <w:rPr>
          <w:rFonts w:cstheme="minorHAnsi"/>
          <w:color w:val="404040" w:themeColor="text1" w:themeTint="BF"/>
        </w:rPr>
        <w:t xml:space="preserve"> na tom, aby financování v oblasti výroby bateriových článků bylo </w:t>
      </w:r>
      <w:r>
        <w:rPr>
          <w:rFonts w:cstheme="minorHAnsi"/>
          <w:color w:val="404040" w:themeColor="text1" w:themeTint="BF"/>
        </w:rPr>
        <w:t>dostupné s cílem pobídnout a využít investice</w:t>
      </w:r>
      <w:r w:rsidRPr="00BD6331">
        <w:rPr>
          <w:rFonts w:cstheme="minorHAnsi"/>
          <w:color w:val="404040" w:themeColor="text1" w:themeTint="BF"/>
        </w:rPr>
        <w:t xml:space="preserve"> soukromého sektoru</w:t>
      </w:r>
      <w:r>
        <w:rPr>
          <w:rFonts w:cstheme="minorHAnsi"/>
          <w:color w:val="404040" w:themeColor="text1" w:themeTint="BF"/>
        </w:rPr>
        <w:t xml:space="preserve"> a snížit jejich riziko</w:t>
      </w:r>
      <w:r w:rsidRPr="00BD6331">
        <w:rPr>
          <w:rFonts w:cstheme="minorHAnsi"/>
          <w:color w:val="404040" w:themeColor="text1" w:themeTint="BF"/>
        </w:rPr>
        <w:t xml:space="preserve">. </w:t>
      </w:r>
      <w:r>
        <w:rPr>
          <w:rFonts w:cstheme="minorHAnsi"/>
          <w:color w:val="404040" w:themeColor="text1" w:themeTint="BF"/>
        </w:rPr>
        <w:t>B</w:t>
      </w:r>
      <w:r w:rsidRPr="00BD6331">
        <w:rPr>
          <w:rFonts w:cstheme="minorHAnsi"/>
          <w:color w:val="404040" w:themeColor="text1" w:themeTint="BF"/>
        </w:rPr>
        <w:t xml:space="preserve">ude koordinovat, zvyšovat povědomí a usnadňovat přístup k různým </w:t>
      </w:r>
      <w:r>
        <w:rPr>
          <w:rFonts w:cstheme="minorHAnsi"/>
          <w:color w:val="404040" w:themeColor="text1" w:themeTint="BF"/>
        </w:rPr>
        <w:t xml:space="preserve">nástrojům financování </w:t>
      </w:r>
      <w:r w:rsidRPr="0098002F">
        <w:rPr>
          <w:rFonts w:cstheme="minorHAnsi"/>
          <w:color w:val="404040" w:themeColor="text1" w:themeTint="BF"/>
        </w:rPr>
        <w:t>na podporu inovativních projektů týkajících se zavádění baterií. [2018-2019]</w:t>
      </w:r>
    </w:p>
    <w:p w:rsidR="005942E7" w:rsidRPr="0098002F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98002F">
        <w:rPr>
          <w:rFonts w:cstheme="minorHAnsi"/>
          <w:color w:val="404040" w:themeColor="text1" w:themeTint="BF"/>
        </w:rPr>
        <w:t>ve spolupráci s příslušnými členskými státy usnadn</w:t>
      </w:r>
      <w:r>
        <w:rPr>
          <w:rFonts w:cstheme="minorHAnsi"/>
          <w:color w:val="404040" w:themeColor="text1" w:themeTint="BF"/>
        </w:rPr>
        <w:t>í</w:t>
      </w:r>
      <w:r w:rsidRPr="0098002F">
        <w:rPr>
          <w:rFonts w:cstheme="minorHAnsi"/>
          <w:color w:val="404040" w:themeColor="text1" w:themeTint="BF"/>
        </w:rPr>
        <w:t xml:space="preserve"> rozvoj "meziregionálního partnerství v oblasti baterií" v rámci stávajících tematických platforem inteligentní specializace v oblasti energetiky nebo modernizace průmyslu. [Q1 2019]</w:t>
      </w:r>
    </w:p>
    <w:p w:rsidR="005942E7" w:rsidRPr="0098002F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98002F">
        <w:rPr>
          <w:rFonts w:cstheme="minorHAnsi"/>
          <w:color w:val="404040" w:themeColor="text1" w:themeTint="BF"/>
        </w:rPr>
        <w:t xml:space="preserve">v úzké spolupráci s příslušnými členskými státy a regiony pracovat v rámci politiky soudržnosti (2014-2020: 44 miliard EUR), které mohou být </w:t>
      </w:r>
      <w:r>
        <w:rPr>
          <w:rFonts w:cstheme="minorHAnsi"/>
          <w:color w:val="404040" w:themeColor="text1" w:themeTint="BF"/>
        </w:rPr>
        <w:t>použity mimo jiné i pro baterie</w:t>
      </w:r>
      <w:r w:rsidRPr="0098002F">
        <w:rPr>
          <w:rFonts w:cstheme="minorHAnsi"/>
          <w:color w:val="404040" w:themeColor="text1" w:themeTint="BF"/>
        </w:rPr>
        <w:t>. [2018-2020]</w:t>
      </w:r>
    </w:p>
    <w:p w:rsidR="005942E7" w:rsidRPr="0098002F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98002F">
        <w:rPr>
          <w:rFonts w:cstheme="minorHAnsi"/>
          <w:color w:val="404040" w:themeColor="text1" w:themeTint="BF"/>
        </w:rPr>
        <w:t>vytvoř</w:t>
      </w:r>
      <w:r>
        <w:rPr>
          <w:rFonts w:cstheme="minorHAnsi"/>
          <w:color w:val="404040" w:themeColor="text1" w:themeTint="BF"/>
        </w:rPr>
        <w:t>í</w:t>
      </w:r>
      <w:r w:rsidRPr="0098002F">
        <w:rPr>
          <w:rFonts w:cstheme="minorHAnsi"/>
          <w:color w:val="404040" w:themeColor="text1" w:themeTint="BF"/>
        </w:rPr>
        <w:t xml:space="preserve"> v</w:t>
      </w:r>
      <w:r>
        <w:rPr>
          <w:rFonts w:cstheme="minorHAnsi"/>
          <w:color w:val="404040" w:themeColor="text1" w:themeTint="BF"/>
        </w:rPr>
        <w:t>e</w:t>
      </w:r>
      <w:r w:rsidRPr="0098002F">
        <w:rPr>
          <w:rFonts w:cstheme="minorHAnsi"/>
          <w:color w:val="404040" w:themeColor="text1" w:themeTint="BF"/>
        </w:rPr>
        <w:t xml:space="preserve"> spolupráci s </w:t>
      </w:r>
      <w:r>
        <w:rPr>
          <w:rFonts w:cstheme="minorHAnsi"/>
          <w:color w:val="404040" w:themeColor="text1" w:themeTint="BF"/>
        </w:rPr>
        <w:t>EIB</w:t>
      </w:r>
      <w:r w:rsidRPr="0098002F">
        <w:rPr>
          <w:rFonts w:cstheme="minorHAnsi"/>
          <w:color w:val="404040" w:themeColor="text1" w:themeTint="BF"/>
        </w:rPr>
        <w:t xml:space="preserve"> specializovaný portál pro financování baterií, který usnadní účastníkům přístup k odpovídající finanční podpoře a pomůže při </w:t>
      </w:r>
      <w:r>
        <w:rPr>
          <w:rFonts w:cstheme="minorHAnsi"/>
          <w:color w:val="404040" w:themeColor="text1" w:themeTint="BF"/>
        </w:rPr>
        <w:t>kombinaci</w:t>
      </w:r>
      <w:r w:rsidRPr="0098002F">
        <w:rPr>
          <w:rFonts w:cstheme="minorHAnsi"/>
          <w:color w:val="404040" w:themeColor="text1" w:themeTint="BF"/>
        </w:rPr>
        <w:t xml:space="preserve"> finančních nástrojů. [Q4 2018]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lastRenderedPageBreak/>
        <w:t>bude</w:t>
      </w:r>
      <w:r w:rsidRPr="0098002F">
        <w:rPr>
          <w:rFonts w:cstheme="minorHAnsi"/>
          <w:color w:val="404040" w:themeColor="text1" w:themeTint="BF"/>
        </w:rPr>
        <w:t xml:space="preserve"> povzbuzovat soukromé investory v celém hodnotovém řetězci, aby plně využívali možnosti dostupné prostřednictvím udržitelného financování, jak je stanoveno v akčním plánu Komise pro financování udržitelného růstu. [2018-2019]</w:t>
      </w:r>
    </w:p>
    <w:p w:rsidR="005942E7" w:rsidRPr="0098002F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98002F">
        <w:rPr>
          <w:rFonts w:cstheme="minorHAnsi"/>
          <w:color w:val="404040" w:themeColor="text1" w:themeTint="BF"/>
        </w:rPr>
        <w:t>ve spolupráci s členskými státy zpřístupní fondy pro výzkum a inovace (H2020) pro inovační projekty související s</w:t>
      </w:r>
      <w:r>
        <w:rPr>
          <w:rFonts w:cstheme="minorHAnsi"/>
          <w:color w:val="404040" w:themeColor="text1" w:themeTint="BF"/>
        </w:rPr>
        <w:t> </w:t>
      </w:r>
      <w:r w:rsidRPr="0098002F">
        <w:rPr>
          <w:rFonts w:cstheme="minorHAnsi"/>
          <w:color w:val="404040" w:themeColor="text1" w:themeTint="BF"/>
        </w:rPr>
        <w:t>bateriemi</w:t>
      </w:r>
      <w:r>
        <w:rPr>
          <w:rFonts w:cstheme="minorHAnsi"/>
          <w:color w:val="404040" w:themeColor="text1" w:themeTint="BF"/>
        </w:rPr>
        <w:t xml:space="preserve"> včetně</w:t>
      </w:r>
      <w:r w:rsidRPr="0098002F">
        <w:rPr>
          <w:rFonts w:cstheme="minorHAnsi"/>
          <w:color w:val="404040" w:themeColor="text1" w:themeTint="BF"/>
        </w:rPr>
        <w:t xml:space="preserve"> inovační</w:t>
      </w:r>
      <w:r>
        <w:rPr>
          <w:rFonts w:cstheme="minorHAnsi"/>
          <w:color w:val="404040" w:themeColor="text1" w:themeTint="BF"/>
        </w:rPr>
        <w:t>ch</w:t>
      </w:r>
      <w:r w:rsidRPr="0098002F">
        <w:rPr>
          <w:rFonts w:cstheme="minorHAnsi"/>
          <w:color w:val="404040" w:themeColor="text1" w:themeTint="BF"/>
        </w:rPr>
        <w:t xml:space="preserve"> projekt</w:t>
      </w:r>
      <w:r>
        <w:rPr>
          <w:rFonts w:cstheme="minorHAnsi"/>
          <w:color w:val="404040" w:themeColor="text1" w:themeTint="BF"/>
        </w:rPr>
        <w:t>ů</w:t>
      </w:r>
      <w:r w:rsidRPr="0098002F">
        <w:rPr>
          <w:rFonts w:cstheme="minorHAnsi"/>
          <w:color w:val="404040" w:themeColor="text1" w:themeTint="BF"/>
        </w:rPr>
        <w:t xml:space="preserve"> zavádění</w:t>
      </w:r>
      <w:r>
        <w:rPr>
          <w:rFonts w:cstheme="minorHAnsi"/>
          <w:color w:val="404040" w:themeColor="text1" w:themeTint="BF"/>
        </w:rPr>
        <w:t xml:space="preserve"> a </w:t>
      </w:r>
      <w:r w:rsidRPr="0098002F">
        <w:rPr>
          <w:rFonts w:cstheme="minorHAnsi"/>
          <w:color w:val="404040" w:themeColor="text1" w:themeTint="BF"/>
        </w:rPr>
        <w:t>pilotních linek pro výrobu baterií a zpracování primárních / druhotných surovin. [2018-2020]</w:t>
      </w:r>
    </w:p>
    <w:p w:rsidR="005942E7" w:rsidRPr="0098002F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98002F">
        <w:rPr>
          <w:rFonts w:cstheme="minorHAnsi"/>
          <w:color w:val="404040" w:themeColor="text1" w:themeTint="BF"/>
        </w:rPr>
        <w:t>zaháj</w:t>
      </w:r>
      <w:r>
        <w:rPr>
          <w:rFonts w:cstheme="minorHAnsi"/>
          <w:color w:val="404040" w:themeColor="text1" w:themeTint="BF"/>
        </w:rPr>
        <w:t>í</w:t>
      </w:r>
      <w:r w:rsidRPr="0098002F">
        <w:rPr>
          <w:rFonts w:cstheme="minorHAnsi"/>
          <w:color w:val="404040" w:themeColor="text1" w:themeTint="BF"/>
        </w:rPr>
        <w:t xml:space="preserve"> výzvy v letech 2018 a 2019 k předložení návrhů </w:t>
      </w:r>
      <w:r>
        <w:rPr>
          <w:rFonts w:cstheme="minorHAnsi"/>
          <w:color w:val="404040" w:themeColor="text1" w:themeTint="BF"/>
        </w:rPr>
        <w:t>ve výši 110 mil.</w:t>
      </w:r>
      <w:r w:rsidRPr="0098002F">
        <w:rPr>
          <w:rFonts w:cstheme="minorHAnsi"/>
          <w:color w:val="404040" w:themeColor="text1" w:themeTint="BF"/>
        </w:rPr>
        <w:t xml:space="preserve"> EUR na výzkumné a inovační projekty související s bateriemi (kromě 250 mil</w:t>
      </w:r>
      <w:r>
        <w:rPr>
          <w:rFonts w:cstheme="minorHAnsi"/>
          <w:color w:val="404040" w:themeColor="text1" w:themeTint="BF"/>
        </w:rPr>
        <w:t>.</w:t>
      </w:r>
      <w:r w:rsidRPr="0098002F">
        <w:rPr>
          <w:rFonts w:cstheme="minorHAnsi"/>
          <w:color w:val="404040" w:themeColor="text1" w:themeTint="BF"/>
        </w:rPr>
        <w:t xml:space="preserve"> EUR již přidělených na baterie v rámci programu Horizont 2020 a 270 mil</w:t>
      </w:r>
      <w:r>
        <w:rPr>
          <w:rFonts w:cstheme="minorHAnsi"/>
          <w:color w:val="404040" w:themeColor="text1" w:themeTint="BF"/>
        </w:rPr>
        <w:t>.</w:t>
      </w:r>
      <w:r w:rsidRPr="0098002F">
        <w:rPr>
          <w:rFonts w:cstheme="minorHAnsi"/>
          <w:color w:val="404040" w:themeColor="text1" w:themeTint="BF"/>
        </w:rPr>
        <w:t xml:space="preserve"> EUR na podporu inteligentních sítí a projektů pro ukládání energie, jak bylo oznámeno v balíčku "Čistá energie pro všechny"</w:t>
      </w:r>
      <w:r>
        <w:rPr>
          <w:rFonts w:cstheme="minorHAnsi"/>
          <w:color w:val="404040" w:themeColor="text1" w:themeTint="BF"/>
        </w:rPr>
        <w:t>).</w:t>
      </w:r>
      <w:r w:rsidRPr="0098002F">
        <w:rPr>
          <w:rFonts w:cstheme="minorHAnsi"/>
          <w:color w:val="404040" w:themeColor="text1" w:themeTint="BF"/>
        </w:rPr>
        <w:t xml:space="preserve"> [2018-2019]</w:t>
      </w:r>
    </w:p>
    <w:p w:rsidR="005942E7" w:rsidRPr="0098002F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98002F">
        <w:rPr>
          <w:rFonts w:cstheme="minorHAnsi"/>
          <w:color w:val="404040" w:themeColor="text1" w:themeTint="BF"/>
        </w:rPr>
        <w:t>podpoř</w:t>
      </w:r>
      <w:r>
        <w:rPr>
          <w:rFonts w:cstheme="minorHAnsi"/>
          <w:color w:val="404040" w:themeColor="text1" w:themeTint="BF"/>
        </w:rPr>
        <w:t>í</w:t>
      </w:r>
      <w:r w:rsidRPr="0098002F">
        <w:rPr>
          <w:rFonts w:cstheme="minorHAnsi"/>
          <w:color w:val="404040" w:themeColor="text1" w:themeTint="BF"/>
        </w:rPr>
        <w:t xml:space="preserve"> vytvoření evropské platformy pro technologii a inovace s cílem pokročit v prioritách výzkumu v oblasti baterií, definovat dlouhodobé vize, vyprac</w:t>
      </w:r>
      <w:r>
        <w:rPr>
          <w:rFonts w:cstheme="minorHAnsi"/>
          <w:color w:val="404040" w:themeColor="text1" w:themeTint="BF"/>
        </w:rPr>
        <w:t>ovat strategický plán výzkumu</w:t>
      </w:r>
      <w:r w:rsidRPr="0098002F">
        <w:rPr>
          <w:rFonts w:cstheme="minorHAnsi"/>
          <w:color w:val="404040" w:themeColor="text1" w:themeTint="BF"/>
        </w:rPr>
        <w:t xml:space="preserve">. Vedoucí postavení </w:t>
      </w:r>
      <w:r>
        <w:rPr>
          <w:rFonts w:cstheme="minorHAnsi"/>
          <w:color w:val="404040" w:themeColor="text1" w:themeTint="BF"/>
        </w:rPr>
        <w:t>P</w:t>
      </w:r>
      <w:r w:rsidRPr="0098002F">
        <w:rPr>
          <w:rFonts w:cstheme="minorHAnsi"/>
          <w:color w:val="404040" w:themeColor="text1" w:themeTint="BF"/>
        </w:rPr>
        <w:t xml:space="preserve">latformy přijmou </w:t>
      </w:r>
      <w:r>
        <w:rPr>
          <w:rFonts w:cstheme="minorHAnsi"/>
          <w:color w:val="404040" w:themeColor="text1" w:themeTint="BF"/>
        </w:rPr>
        <w:t>zástupci</w:t>
      </w:r>
      <w:r w:rsidRPr="0098002F">
        <w:rPr>
          <w:rFonts w:cstheme="minorHAnsi"/>
          <w:color w:val="404040" w:themeColor="text1" w:themeTint="BF"/>
        </w:rPr>
        <w:t xml:space="preserve"> průmyslu, výzku</w:t>
      </w:r>
      <w:r>
        <w:rPr>
          <w:rFonts w:cstheme="minorHAnsi"/>
          <w:color w:val="404040" w:themeColor="text1" w:themeTint="BF"/>
        </w:rPr>
        <w:t>mné obce a členských</w:t>
      </w:r>
      <w:r w:rsidRPr="0098002F">
        <w:rPr>
          <w:rFonts w:cstheme="minorHAnsi"/>
          <w:color w:val="404040" w:themeColor="text1" w:themeTint="BF"/>
        </w:rPr>
        <w:t xml:space="preserve"> stát</w:t>
      </w:r>
      <w:r>
        <w:rPr>
          <w:rFonts w:cstheme="minorHAnsi"/>
          <w:color w:val="404040" w:themeColor="text1" w:themeTint="BF"/>
        </w:rPr>
        <w:t xml:space="preserve">ů; </w:t>
      </w:r>
      <w:r w:rsidRPr="0098002F">
        <w:rPr>
          <w:rFonts w:cstheme="minorHAnsi"/>
          <w:color w:val="404040" w:themeColor="text1" w:themeTint="BF"/>
        </w:rPr>
        <w:t xml:space="preserve">útvary Komise podpoří proces zakládání a </w:t>
      </w:r>
      <w:r>
        <w:rPr>
          <w:rFonts w:cstheme="minorHAnsi"/>
          <w:color w:val="404040" w:themeColor="text1" w:themeTint="BF"/>
        </w:rPr>
        <w:t xml:space="preserve">budou </w:t>
      </w:r>
      <w:r w:rsidRPr="0098002F">
        <w:rPr>
          <w:rFonts w:cstheme="minorHAnsi"/>
          <w:color w:val="404040" w:themeColor="text1" w:themeTint="BF"/>
        </w:rPr>
        <w:t>přispíva</w:t>
      </w:r>
      <w:r>
        <w:rPr>
          <w:rFonts w:cstheme="minorHAnsi"/>
          <w:color w:val="404040" w:themeColor="text1" w:themeTint="BF"/>
        </w:rPr>
        <w:t>t</w:t>
      </w:r>
      <w:r w:rsidRPr="0098002F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ve svých příslušných oblastech</w:t>
      </w:r>
      <w:r w:rsidRPr="0098002F">
        <w:rPr>
          <w:rFonts w:cstheme="minorHAnsi"/>
          <w:color w:val="404040" w:themeColor="text1" w:themeTint="BF"/>
        </w:rPr>
        <w:t>. [Q4 2018]</w:t>
      </w:r>
    </w:p>
    <w:p w:rsidR="005942E7" w:rsidRPr="0098002F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98002F">
        <w:rPr>
          <w:rFonts w:cstheme="minorHAnsi"/>
          <w:color w:val="404040" w:themeColor="text1" w:themeTint="BF"/>
        </w:rPr>
        <w:t>připrav</w:t>
      </w:r>
      <w:r>
        <w:rPr>
          <w:rFonts w:cstheme="minorHAnsi"/>
          <w:color w:val="404040" w:themeColor="text1" w:themeTint="BF"/>
        </w:rPr>
        <w:t>í</w:t>
      </w:r>
      <w:r w:rsidRPr="0098002F">
        <w:rPr>
          <w:rFonts w:cstheme="minorHAnsi"/>
          <w:color w:val="404040" w:themeColor="text1" w:themeTint="BF"/>
        </w:rPr>
        <w:t xml:space="preserve"> zahájení rozsáhlé </w:t>
      </w:r>
      <w:r>
        <w:rPr>
          <w:rFonts w:cstheme="minorHAnsi"/>
          <w:color w:val="404040" w:themeColor="text1" w:themeTint="BF"/>
        </w:rPr>
        <w:t>výzkumné</w:t>
      </w:r>
      <w:r w:rsidRPr="0098002F">
        <w:rPr>
          <w:rFonts w:cstheme="minorHAnsi"/>
          <w:color w:val="404040" w:themeColor="text1" w:themeTint="BF"/>
        </w:rPr>
        <w:t xml:space="preserve"> iniciativy </w:t>
      </w:r>
      <w:r w:rsidRPr="00F537F3">
        <w:rPr>
          <w:rFonts w:cstheme="minorHAnsi"/>
          <w:color w:val="404040" w:themeColor="text1" w:themeTint="BF"/>
        </w:rPr>
        <w:t>Future Emerging Technologies Flagship</w:t>
      </w:r>
      <w:r w:rsidRPr="0098002F">
        <w:rPr>
          <w:rFonts w:cstheme="minorHAnsi"/>
          <w:color w:val="404040" w:themeColor="text1" w:themeTint="BF"/>
        </w:rPr>
        <w:t xml:space="preserve">, která by mohla podporovat dlouhodobý výzkum v oblasti pokročilých bateriových technologií pro období 2025 a </w:t>
      </w:r>
      <w:r>
        <w:rPr>
          <w:rFonts w:cstheme="minorHAnsi"/>
          <w:color w:val="404040" w:themeColor="text1" w:themeTint="BF"/>
        </w:rPr>
        <w:t>dále</w:t>
      </w:r>
      <w:r w:rsidRPr="0098002F">
        <w:rPr>
          <w:rFonts w:cstheme="minorHAnsi"/>
          <w:color w:val="404040" w:themeColor="text1" w:themeTint="BF"/>
        </w:rPr>
        <w:t xml:space="preserve">. Tyto </w:t>
      </w:r>
      <w:r>
        <w:rPr>
          <w:rFonts w:cstheme="minorHAnsi"/>
          <w:color w:val="404040" w:themeColor="text1" w:themeTint="BF"/>
        </w:rPr>
        <w:t>iniciativy</w:t>
      </w:r>
      <w:r w:rsidRPr="0098002F">
        <w:rPr>
          <w:rFonts w:cstheme="minorHAnsi"/>
          <w:color w:val="404040" w:themeColor="text1" w:themeTint="BF"/>
        </w:rPr>
        <w:t xml:space="preserve"> budou probíhat zpravidla po dobu 10 let s celkovou podporou přib</w:t>
      </w:r>
      <w:r>
        <w:rPr>
          <w:rFonts w:cstheme="minorHAnsi"/>
          <w:color w:val="404040" w:themeColor="text1" w:themeTint="BF"/>
        </w:rPr>
        <w:t>ližně 1 m</w:t>
      </w:r>
      <w:r w:rsidRPr="0098002F">
        <w:rPr>
          <w:rFonts w:cstheme="minorHAnsi"/>
          <w:color w:val="404040" w:themeColor="text1" w:themeTint="BF"/>
        </w:rPr>
        <w:t>l</w:t>
      </w:r>
      <w:r>
        <w:rPr>
          <w:rFonts w:cstheme="minorHAnsi"/>
          <w:color w:val="404040" w:themeColor="text1" w:themeTint="BF"/>
        </w:rPr>
        <w:t>d. EUR za spolufinancování</w:t>
      </w:r>
      <w:r w:rsidRPr="0098002F">
        <w:rPr>
          <w:rFonts w:cstheme="minorHAnsi"/>
          <w:color w:val="404040" w:themeColor="text1" w:themeTint="BF"/>
        </w:rPr>
        <w:t xml:space="preserve"> z rozpočtu EU. [Q4 2018]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podpoří</w:t>
      </w:r>
      <w:r w:rsidRPr="0098002F">
        <w:rPr>
          <w:rFonts w:cstheme="minorHAnsi"/>
          <w:color w:val="404040" w:themeColor="text1" w:themeTint="BF"/>
        </w:rPr>
        <w:t xml:space="preserve"> průlomové inovace prostřednictvím pilotního projektu Evropské inovační rady. Na období 2018-2020 je k dispozici 2,7 ml</w:t>
      </w:r>
      <w:r>
        <w:rPr>
          <w:rFonts w:cstheme="minorHAnsi"/>
          <w:color w:val="404040" w:themeColor="text1" w:themeTint="BF"/>
        </w:rPr>
        <w:t>d.</w:t>
      </w:r>
      <w:r w:rsidRPr="0098002F">
        <w:rPr>
          <w:rFonts w:cstheme="minorHAnsi"/>
          <w:color w:val="404040" w:themeColor="text1" w:themeTint="BF"/>
        </w:rPr>
        <w:t xml:space="preserve"> EUR na podporu 1 000 potenciálních průlomových projektů a 3 </w:t>
      </w:r>
      <w:r>
        <w:rPr>
          <w:rFonts w:cstheme="minorHAnsi"/>
          <w:color w:val="404040" w:themeColor="text1" w:themeTint="BF"/>
        </w:rPr>
        <w:t>tis.</w:t>
      </w:r>
      <w:r w:rsidRPr="0098002F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„feasibility awards“</w:t>
      </w:r>
      <w:r w:rsidRPr="0098002F">
        <w:rPr>
          <w:rFonts w:cstheme="minorHAnsi"/>
          <w:color w:val="404040" w:themeColor="text1" w:themeTint="BF"/>
        </w:rPr>
        <w:t xml:space="preserve">. </w:t>
      </w:r>
      <w:r>
        <w:rPr>
          <w:rFonts w:cstheme="minorHAnsi"/>
          <w:color w:val="404040" w:themeColor="text1" w:themeTint="BF"/>
        </w:rPr>
        <w:t>P</w:t>
      </w:r>
      <w:r w:rsidRPr="0098002F">
        <w:rPr>
          <w:rFonts w:cstheme="minorHAnsi"/>
          <w:color w:val="404040" w:themeColor="text1" w:themeTint="BF"/>
        </w:rPr>
        <w:t>rogram může být užitečný pro průlomov</w:t>
      </w:r>
      <w:r>
        <w:rPr>
          <w:rFonts w:cstheme="minorHAnsi"/>
          <w:color w:val="404040" w:themeColor="text1" w:themeTint="BF"/>
        </w:rPr>
        <w:t>é</w:t>
      </w:r>
      <w:r w:rsidRPr="0098002F">
        <w:rPr>
          <w:rFonts w:cstheme="minorHAnsi"/>
          <w:color w:val="404040" w:themeColor="text1" w:themeTint="BF"/>
        </w:rPr>
        <w:t xml:space="preserve"> technologi</w:t>
      </w:r>
      <w:r>
        <w:rPr>
          <w:rFonts w:cstheme="minorHAnsi"/>
          <w:color w:val="404040" w:themeColor="text1" w:themeTint="BF"/>
        </w:rPr>
        <w:t>e</w:t>
      </w:r>
      <w:r w:rsidRPr="0098002F">
        <w:rPr>
          <w:rFonts w:cstheme="minorHAnsi"/>
          <w:color w:val="404040" w:themeColor="text1" w:themeTint="BF"/>
        </w:rPr>
        <w:t xml:space="preserve"> baterií (očekává se, že bude součástí projektů pro aplikace v dopravě, </w:t>
      </w:r>
      <w:r>
        <w:rPr>
          <w:rFonts w:cstheme="minorHAnsi"/>
          <w:color w:val="404040" w:themeColor="text1" w:themeTint="BF"/>
        </w:rPr>
        <w:t>energetice</w:t>
      </w:r>
      <w:r w:rsidRPr="0098002F">
        <w:rPr>
          <w:rFonts w:cstheme="minorHAnsi"/>
          <w:color w:val="404040" w:themeColor="text1" w:themeTint="BF"/>
        </w:rPr>
        <w:t>, výrobě apod.). [2018-2020]</w:t>
      </w:r>
    </w:p>
    <w:p w:rsidR="005942E7" w:rsidRPr="00FA07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FA07E7">
        <w:rPr>
          <w:rFonts w:cstheme="minorHAnsi"/>
          <w:color w:val="404040" w:themeColor="text1" w:themeTint="BF"/>
        </w:rPr>
        <w:t>optimaliz</w:t>
      </w:r>
      <w:r>
        <w:rPr>
          <w:rFonts w:cstheme="minorHAnsi"/>
          <w:color w:val="404040" w:themeColor="text1" w:themeTint="BF"/>
        </w:rPr>
        <w:t>uje</w:t>
      </w:r>
      <w:r w:rsidRPr="00FA07E7">
        <w:rPr>
          <w:rFonts w:cstheme="minorHAnsi"/>
          <w:color w:val="404040" w:themeColor="text1" w:themeTint="BF"/>
        </w:rPr>
        <w:t xml:space="preserve"> řešení pro integraci stacionárních </w:t>
      </w:r>
      <w:r>
        <w:rPr>
          <w:rFonts w:cstheme="minorHAnsi"/>
          <w:color w:val="404040" w:themeColor="text1" w:themeTint="BF"/>
        </w:rPr>
        <w:t>akumulátorů</w:t>
      </w:r>
      <w:r w:rsidRPr="00FA07E7">
        <w:rPr>
          <w:rFonts w:cstheme="minorHAnsi"/>
          <w:color w:val="404040" w:themeColor="text1" w:themeTint="BF"/>
        </w:rPr>
        <w:t xml:space="preserve"> a elektrických vozidel v rámci projektů </w:t>
      </w:r>
      <w:r>
        <w:rPr>
          <w:rFonts w:cstheme="minorHAnsi"/>
          <w:color w:val="404040" w:themeColor="text1" w:themeTint="BF"/>
        </w:rPr>
        <w:t>„S</w:t>
      </w:r>
      <w:r w:rsidRPr="00ED5FAD">
        <w:rPr>
          <w:rFonts w:cstheme="minorHAnsi"/>
          <w:color w:val="404040" w:themeColor="text1" w:themeTint="BF"/>
        </w:rPr>
        <w:t>mart grid and storage</w:t>
      </w:r>
      <w:r>
        <w:rPr>
          <w:rFonts w:cstheme="minorHAnsi"/>
          <w:color w:val="404040" w:themeColor="text1" w:themeTint="BF"/>
        </w:rPr>
        <w:t>“</w:t>
      </w:r>
      <w:r w:rsidRPr="00FA07E7">
        <w:rPr>
          <w:rFonts w:cstheme="minorHAnsi"/>
          <w:color w:val="404040" w:themeColor="text1" w:themeTint="BF"/>
        </w:rPr>
        <w:t xml:space="preserve"> Horizon 2020</w:t>
      </w:r>
      <w:r>
        <w:rPr>
          <w:rFonts w:cstheme="minorHAnsi"/>
          <w:color w:val="404040" w:themeColor="text1" w:themeTint="BF"/>
        </w:rPr>
        <w:t xml:space="preserve"> (přibližně 90 mil. EUR ročně), jakož i </w:t>
      </w:r>
      <w:r w:rsidRPr="00FA07E7">
        <w:rPr>
          <w:rFonts w:cstheme="minorHAnsi"/>
          <w:color w:val="404040" w:themeColor="text1" w:themeTint="BF"/>
        </w:rPr>
        <w:t xml:space="preserve">projektů </w:t>
      </w:r>
      <w:r>
        <w:rPr>
          <w:rFonts w:cstheme="minorHAnsi"/>
          <w:color w:val="404040" w:themeColor="text1" w:themeTint="BF"/>
        </w:rPr>
        <w:t>„</w:t>
      </w:r>
      <w:r w:rsidRPr="00ED5FAD">
        <w:rPr>
          <w:rFonts w:cstheme="minorHAnsi"/>
          <w:color w:val="404040" w:themeColor="text1" w:themeTint="BF"/>
        </w:rPr>
        <w:t>Smart Cities and Communities’</w:t>
      </w:r>
      <w:r>
        <w:rPr>
          <w:rFonts w:cstheme="minorHAnsi"/>
          <w:color w:val="404040" w:themeColor="text1" w:themeTint="BF"/>
        </w:rPr>
        <w:t>“</w:t>
      </w:r>
      <w:r w:rsidRPr="00FA07E7">
        <w:rPr>
          <w:rFonts w:cstheme="minorHAnsi"/>
          <w:color w:val="404040" w:themeColor="text1" w:themeTint="BF"/>
        </w:rPr>
        <w:t xml:space="preserve">. </w:t>
      </w:r>
      <w:r>
        <w:rPr>
          <w:rFonts w:cstheme="minorHAnsi"/>
          <w:color w:val="404040" w:themeColor="text1" w:themeTint="BF"/>
        </w:rPr>
        <w:t>Bude p</w:t>
      </w:r>
      <w:r w:rsidRPr="00FA07E7">
        <w:rPr>
          <w:rFonts w:cstheme="minorHAnsi"/>
          <w:color w:val="404040" w:themeColor="text1" w:themeTint="BF"/>
        </w:rPr>
        <w:t>odporovat úspěšná řešení integrace baterií. [2018-2019]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bude využívat zkušenosti S</w:t>
      </w:r>
      <w:r w:rsidRPr="00FA07E7">
        <w:rPr>
          <w:rFonts w:cstheme="minorHAnsi"/>
          <w:color w:val="404040" w:themeColor="text1" w:themeTint="BF"/>
        </w:rPr>
        <w:t xml:space="preserve">polečných technologických iniciativ a Evropského technologického institutu / </w:t>
      </w:r>
      <w:r>
        <w:rPr>
          <w:rFonts w:cstheme="minorHAnsi"/>
          <w:color w:val="404040" w:themeColor="text1" w:themeTint="BF"/>
        </w:rPr>
        <w:t>Z</w:t>
      </w:r>
      <w:r w:rsidRPr="00FA07E7">
        <w:rPr>
          <w:rFonts w:cstheme="minorHAnsi"/>
          <w:color w:val="404040" w:themeColor="text1" w:themeTint="BF"/>
        </w:rPr>
        <w:t xml:space="preserve">nalostních a inovačních společenství s cílem prozkoumat proveditelnost a vhodnost různých forem partnerství veřejného a soukromého sektoru, včetně </w:t>
      </w:r>
      <w:r>
        <w:rPr>
          <w:rFonts w:cstheme="minorHAnsi"/>
          <w:color w:val="404040" w:themeColor="text1" w:themeTint="BF"/>
        </w:rPr>
        <w:t>těch pro rozvoj baterií.</w:t>
      </w:r>
      <w:r w:rsidRPr="00FA07E7">
        <w:rPr>
          <w:rFonts w:cstheme="minorHAnsi"/>
          <w:color w:val="404040" w:themeColor="text1" w:themeTint="BF"/>
        </w:rPr>
        <w:t xml:space="preserve"> [2020-]</w:t>
      </w:r>
    </w:p>
    <w:p w:rsidR="005942E7" w:rsidRPr="00253311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zmapuje</w:t>
      </w:r>
      <w:r w:rsidRPr="00253311">
        <w:rPr>
          <w:rFonts w:cstheme="minorHAnsi"/>
          <w:color w:val="404040" w:themeColor="text1" w:themeTint="BF"/>
        </w:rPr>
        <w:t xml:space="preserve"> potřebné dovednosti v rámci hodnotového řetězce, identifik</w:t>
      </w:r>
      <w:r>
        <w:rPr>
          <w:rFonts w:cstheme="minorHAnsi"/>
          <w:color w:val="404040" w:themeColor="text1" w:themeTint="BF"/>
        </w:rPr>
        <w:t>uje</w:t>
      </w:r>
      <w:r w:rsidRPr="00253311">
        <w:rPr>
          <w:rFonts w:cstheme="minorHAnsi"/>
          <w:color w:val="404040" w:themeColor="text1" w:themeTint="BF"/>
        </w:rPr>
        <w:t xml:space="preserve"> také prostředky na </w:t>
      </w:r>
      <w:r>
        <w:rPr>
          <w:rFonts w:cstheme="minorHAnsi"/>
          <w:color w:val="404040" w:themeColor="text1" w:themeTint="BF"/>
        </w:rPr>
        <w:t>překlenutí nedostatků</w:t>
      </w:r>
      <w:r w:rsidRPr="00253311">
        <w:rPr>
          <w:rFonts w:cstheme="minorHAnsi"/>
          <w:color w:val="404040" w:themeColor="text1" w:themeTint="BF"/>
        </w:rPr>
        <w:t xml:space="preserve"> a </w:t>
      </w:r>
      <w:r>
        <w:rPr>
          <w:rFonts w:cstheme="minorHAnsi"/>
          <w:color w:val="404040" w:themeColor="text1" w:themeTint="BF"/>
        </w:rPr>
        <w:t xml:space="preserve">na </w:t>
      </w:r>
      <w:r w:rsidRPr="00253311">
        <w:rPr>
          <w:rFonts w:cstheme="minorHAnsi"/>
          <w:color w:val="404040" w:themeColor="text1" w:themeTint="BF"/>
        </w:rPr>
        <w:t>časov</w:t>
      </w:r>
      <w:r>
        <w:rPr>
          <w:rFonts w:cstheme="minorHAnsi"/>
          <w:color w:val="404040" w:themeColor="text1" w:themeTint="BF"/>
        </w:rPr>
        <w:t>ý</w:t>
      </w:r>
      <w:r w:rsidRPr="00253311">
        <w:rPr>
          <w:rFonts w:cstheme="minorHAnsi"/>
          <w:color w:val="404040" w:themeColor="text1" w:themeTint="BF"/>
        </w:rPr>
        <w:t xml:space="preserve"> rám</w:t>
      </w:r>
      <w:r>
        <w:rPr>
          <w:rFonts w:cstheme="minorHAnsi"/>
          <w:color w:val="404040" w:themeColor="text1" w:themeTint="BF"/>
        </w:rPr>
        <w:t>e</w:t>
      </w:r>
      <w:r w:rsidRPr="00253311">
        <w:rPr>
          <w:rFonts w:cstheme="minorHAnsi"/>
          <w:color w:val="404040" w:themeColor="text1" w:themeTint="BF"/>
        </w:rPr>
        <w:t xml:space="preserve">c </w:t>
      </w:r>
      <w:r>
        <w:rPr>
          <w:rFonts w:cstheme="minorHAnsi"/>
          <w:color w:val="404040" w:themeColor="text1" w:themeTint="BF"/>
        </w:rPr>
        <w:t>implementace</w:t>
      </w:r>
      <w:r w:rsidRPr="00253311">
        <w:rPr>
          <w:rFonts w:cstheme="minorHAnsi"/>
          <w:color w:val="404040" w:themeColor="text1" w:themeTint="BF"/>
        </w:rPr>
        <w:t>. [Q4 2018]</w:t>
      </w:r>
    </w:p>
    <w:p w:rsidR="005942E7" w:rsidRPr="00253311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o</w:t>
      </w:r>
      <w:r w:rsidRPr="00253311">
        <w:rPr>
          <w:rFonts w:cstheme="minorHAnsi"/>
          <w:color w:val="404040" w:themeColor="text1" w:themeTint="BF"/>
        </w:rPr>
        <w:t>tevře přístup k laboratořím EU pro testování baterií, které organizuje Společné výzkumné středisko Komise. [Q4 2018]</w:t>
      </w:r>
    </w:p>
    <w:p w:rsidR="005942E7" w:rsidRPr="00253311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253311">
        <w:rPr>
          <w:rFonts w:cstheme="minorHAnsi"/>
          <w:color w:val="404040" w:themeColor="text1" w:themeTint="BF"/>
        </w:rPr>
        <w:t>navrh</w:t>
      </w:r>
      <w:r>
        <w:rPr>
          <w:rFonts w:cstheme="minorHAnsi"/>
          <w:color w:val="404040" w:themeColor="text1" w:themeTint="BF"/>
        </w:rPr>
        <w:t>ne</w:t>
      </w:r>
      <w:r w:rsidRPr="00253311">
        <w:rPr>
          <w:rFonts w:cstheme="minorHAnsi"/>
          <w:color w:val="404040" w:themeColor="text1" w:themeTint="BF"/>
        </w:rPr>
        <w:t xml:space="preserve"> baterie jako klíčové</w:t>
      </w:r>
      <w:r>
        <w:rPr>
          <w:rFonts w:cstheme="minorHAnsi"/>
          <w:color w:val="404040" w:themeColor="text1" w:themeTint="BF"/>
        </w:rPr>
        <w:t xml:space="preserve"> téma</w:t>
      </w:r>
      <w:r w:rsidRPr="00253311">
        <w:rPr>
          <w:rFonts w:cstheme="minorHAnsi"/>
          <w:color w:val="404040" w:themeColor="text1" w:themeTint="BF"/>
        </w:rPr>
        <w:t xml:space="preserve"> pro financování v Pl</w:t>
      </w:r>
      <w:r>
        <w:rPr>
          <w:rFonts w:cstheme="minorHAnsi"/>
          <w:color w:val="404040" w:themeColor="text1" w:themeTint="BF"/>
        </w:rPr>
        <w:t>ánu pro odvětvovou spolupráci v </w:t>
      </w:r>
      <w:r w:rsidRPr="00253311">
        <w:rPr>
          <w:rFonts w:cstheme="minorHAnsi"/>
          <w:color w:val="404040" w:themeColor="text1" w:themeTint="BF"/>
        </w:rPr>
        <w:t xml:space="preserve">oblasti dovedností s cílem řešit potřeby v oblasti dovedností v </w:t>
      </w:r>
      <w:r>
        <w:rPr>
          <w:rFonts w:cstheme="minorHAnsi"/>
          <w:color w:val="404040" w:themeColor="text1" w:themeTint="BF"/>
        </w:rPr>
        <w:t>celém hodnotovém řetězci</w:t>
      </w:r>
      <w:r w:rsidRPr="00253311">
        <w:rPr>
          <w:rFonts w:cstheme="minorHAnsi"/>
          <w:color w:val="404040" w:themeColor="text1" w:themeTint="BF"/>
        </w:rPr>
        <w:t>. [2018-2019]</w:t>
      </w:r>
    </w:p>
    <w:p w:rsidR="005942E7" w:rsidRPr="00253311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253311">
        <w:rPr>
          <w:rFonts w:cstheme="minorHAnsi"/>
          <w:color w:val="404040" w:themeColor="text1" w:themeTint="BF"/>
        </w:rPr>
        <w:t>spolupracovat s příslušnými zainteresovanými subjekty, aby společnost</w:t>
      </w:r>
      <w:r>
        <w:rPr>
          <w:rFonts w:cstheme="minorHAnsi"/>
          <w:color w:val="404040" w:themeColor="text1" w:themeTint="BF"/>
        </w:rPr>
        <w:t xml:space="preserve">em byly dostupní </w:t>
      </w:r>
      <w:r w:rsidRPr="00253311">
        <w:rPr>
          <w:rFonts w:cstheme="minorHAnsi"/>
          <w:color w:val="404040" w:themeColor="text1" w:themeTint="BF"/>
        </w:rPr>
        <w:t>odborní</w:t>
      </w:r>
      <w:r>
        <w:rPr>
          <w:rFonts w:cstheme="minorHAnsi"/>
          <w:color w:val="404040" w:themeColor="text1" w:themeTint="BF"/>
        </w:rPr>
        <w:t>ci</w:t>
      </w:r>
      <w:r w:rsidRPr="00253311">
        <w:rPr>
          <w:rFonts w:cstheme="minorHAnsi"/>
          <w:color w:val="404040" w:themeColor="text1" w:themeTint="BF"/>
        </w:rPr>
        <w:t xml:space="preserve"> specializovan</w:t>
      </w:r>
      <w:r>
        <w:rPr>
          <w:rFonts w:cstheme="minorHAnsi"/>
          <w:color w:val="404040" w:themeColor="text1" w:themeTint="BF"/>
        </w:rPr>
        <w:t>í</w:t>
      </w:r>
      <w:r w:rsidRPr="00253311">
        <w:rPr>
          <w:rFonts w:cstheme="minorHAnsi"/>
          <w:color w:val="404040" w:themeColor="text1" w:themeTint="BF"/>
        </w:rPr>
        <w:t xml:space="preserve"> na </w:t>
      </w:r>
      <w:r>
        <w:rPr>
          <w:rFonts w:cstheme="minorHAnsi"/>
          <w:color w:val="404040" w:themeColor="text1" w:themeTint="BF"/>
        </w:rPr>
        <w:t>chemii článků</w:t>
      </w:r>
      <w:r w:rsidRPr="00253311">
        <w:rPr>
          <w:rFonts w:cstheme="minorHAnsi"/>
          <w:color w:val="404040" w:themeColor="text1" w:themeTint="BF"/>
        </w:rPr>
        <w:t xml:space="preserve">, výrobní procesy, </w:t>
      </w:r>
      <w:r>
        <w:rPr>
          <w:rFonts w:cstheme="minorHAnsi"/>
          <w:color w:val="404040" w:themeColor="text1" w:themeTint="BF"/>
        </w:rPr>
        <w:t>řídicí systémy</w:t>
      </w:r>
      <w:r w:rsidRPr="00253311">
        <w:rPr>
          <w:rFonts w:cstheme="minorHAnsi"/>
          <w:color w:val="404040" w:themeColor="text1" w:themeTint="BF"/>
        </w:rPr>
        <w:t xml:space="preserve"> baterií atd. [2018-2019]</w:t>
      </w:r>
    </w:p>
    <w:p w:rsidR="005942E7" w:rsidRPr="00253311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bude</w:t>
      </w:r>
      <w:r w:rsidRPr="00253311">
        <w:rPr>
          <w:rFonts w:cstheme="minorHAnsi"/>
          <w:color w:val="404040" w:themeColor="text1" w:themeTint="BF"/>
        </w:rPr>
        <w:t xml:space="preserve"> spolupracovat s příslušnými zúčastněnými stranami, aby </w:t>
      </w:r>
      <w:r>
        <w:rPr>
          <w:rFonts w:cstheme="minorHAnsi"/>
          <w:color w:val="404040" w:themeColor="text1" w:themeTint="BF"/>
        </w:rPr>
        <w:t xml:space="preserve">byly </w:t>
      </w:r>
      <w:r w:rsidRPr="00253311">
        <w:rPr>
          <w:rFonts w:cstheme="minorHAnsi"/>
          <w:color w:val="404040" w:themeColor="text1" w:themeTint="BF"/>
        </w:rPr>
        <w:t>vytvoř</w:t>
      </w:r>
      <w:r>
        <w:rPr>
          <w:rFonts w:cstheme="minorHAnsi"/>
          <w:color w:val="404040" w:themeColor="text1" w:themeTint="BF"/>
        </w:rPr>
        <w:t>eny</w:t>
      </w:r>
      <w:r w:rsidRPr="00253311">
        <w:rPr>
          <w:rFonts w:cstheme="minorHAnsi"/>
          <w:color w:val="404040" w:themeColor="text1" w:themeTint="BF"/>
        </w:rPr>
        <w:t xml:space="preserve"> vazby mezi vzdělávací sítí </w:t>
      </w:r>
      <w:r>
        <w:rPr>
          <w:rFonts w:cstheme="minorHAnsi"/>
          <w:color w:val="404040" w:themeColor="text1" w:themeTint="BF"/>
        </w:rPr>
        <w:t xml:space="preserve">a </w:t>
      </w:r>
      <w:r w:rsidRPr="00543A1B">
        <w:rPr>
          <w:rFonts w:cstheme="minorHAnsi"/>
          <w:color w:val="404040" w:themeColor="text1" w:themeTint="BF"/>
        </w:rPr>
        <w:t>European pilot line network</w:t>
      </w:r>
      <w:r w:rsidRPr="00253311">
        <w:rPr>
          <w:rFonts w:cstheme="minorHAnsi"/>
          <w:color w:val="404040" w:themeColor="text1" w:themeTint="BF"/>
        </w:rPr>
        <w:t>, aby získaly zkušenosti z výroby a know-how. [2018-2019]</w:t>
      </w:r>
    </w:p>
    <w:p w:rsidR="005942E7" w:rsidRPr="00253311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253311">
        <w:rPr>
          <w:rFonts w:cstheme="minorHAnsi"/>
          <w:color w:val="404040" w:themeColor="text1" w:themeTint="BF"/>
        </w:rPr>
        <w:t>povzbuzovat členské státy, aby využívaly prostředků z Evropského sociálního fondu na řešení potřeb školení odborníků v oblasti baterií. [p</w:t>
      </w:r>
      <w:r>
        <w:rPr>
          <w:rFonts w:cstheme="minorHAnsi"/>
          <w:color w:val="404040" w:themeColor="text1" w:themeTint="BF"/>
        </w:rPr>
        <w:t>růběžně</w:t>
      </w:r>
      <w:r w:rsidRPr="00253311">
        <w:rPr>
          <w:rFonts w:cstheme="minorHAnsi"/>
          <w:color w:val="404040" w:themeColor="text1" w:themeTint="BF"/>
        </w:rPr>
        <w:t>]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bude</w:t>
      </w:r>
      <w:r w:rsidRPr="00253311">
        <w:rPr>
          <w:rFonts w:cstheme="minorHAnsi"/>
          <w:color w:val="404040" w:themeColor="text1" w:themeTint="BF"/>
        </w:rPr>
        <w:t xml:space="preserve"> pomáhat vysokým školám a dalším institucím v oblasti vzdělávání / odborné přípravy při vytváření nových studijních programů ve spolupráci s průmyslem. [2018-2019]</w:t>
      </w:r>
    </w:p>
    <w:p w:rsidR="005942E7" w:rsidRDefault="005942E7" w:rsidP="005942E7">
      <w:pPr>
        <w:pStyle w:val="Odstavecseseznamem"/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2E6155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zhodnotí</w:t>
      </w:r>
      <w:r w:rsidRPr="002E6155">
        <w:rPr>
          <w:rFonts w:cstheme="minorHAnsi"/>
          <w:color w:val="404040" w:themeColor="text1" w:themeTint="BF"/>
        </w:rPr>
        <w:t xml:space="preserve"> současné cíle sběru a recyklace baterií v souvislosti s přezkumem směrnice o bateriích EU včetně obnovy materiálů (očekává se, že bude dokončeno v září 2018). [Q4 2018]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2E6155">
        <w:rPr>
          <w:rFonts w:cstheme="minorHAnsi"/>
          <w:color w:val="404040" w:themeColor="text1" w:themeTint="BF"/>
        </w:rPr>
        <w:t>zaháj</w:t>
      </w:r>
      <w:r>
        <w:rPr>
          <w:rFonts w:cstheme="minorHAnsi"/>
          <w:color w:val="404040" w:themeColor="text1" w:themeTint="BF"/>
        </w:rPr>
        <w:t>í</w:t>
      </w:r>
      <w:r w:rsidRPr="002E6155">
        <w:rPr>
          <w:rFonts w:cstheme="minorHAnsi"/>
          <w:color w:val="404040" w:themeColor="text1" w:themeTint="BF"/>
        </w:rPr>
        <w:t xml:space="preserve"> studie klíčových faktorů určujících výrobu bezpečných a u</w:t>
      </w:r>
      <w:r>
        <w:rPr>
          <w:rFonts w:cstheme="minorHAnsi"/>
          <w:color w:val="404040" w:themeColor="text1" w:themeTint="BF"/>
        </w:rPr>
        <w:t>držitelných (ekologických</w:t>
      </w:r>
      <w:r w:rsidRPr="002E6155">
        <w:rPr>
          <w:rFonts w:cstheme="minorHAnsi"/>
          <w:color w:val="404040" w:themeColor="text1" w:themeTint="BF"/>
        </w:rPr>
        <w:t>) baterií. [Q4 2018]</w:t>
      </w:r>
    </w:p>
    <w:p w:rsidR="005942E7" w:rsidRDefault="005942E7" w:rsidP="00B6003D">
      <w:pPr>
        <w:pStyle w:val="Odstavecseseznamem"/>
        <w:numPr>
          <w:ilvl w:val="1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Na základě těchto dvou opatření se:</w:t>
      </w:r>
    </w:p>
    <w:p w:rsidR="005942E7" w:rsidRPr="002E6155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2E6155">
        <w:rPr>
          <w:rFonts w:cstheme="minorHAnsi"/>
          <w:color w:val="404040" w:themeColor="text1" w:themeTint="BF"/>
        </w:rPr>
        <w:t>identifik</w:t>
      </w:r>
      <w:r>
        <w:rPr>
          <w:rFonts w:cstheme="minorHAnsi"/>
          <w:color w:val="404040" w:themeColor="text1" w:themeTint="BF"/>
        </w:rPr>
        <w:t>uje</w:t>
      </w:r>
      <w:r w:rsidRPr="002E6155">
        <w:rPr>
          <w:rFonts w:cstheme="minorHAnsi"/>
          <w:color w:val="404040" w:themeColor="text1" w:themeTint="BF"/>
        </w:rPr>
        <w:t xml:space="preserve"> možnost vypracování standardizovaného systému posuzování životního cyklu pro baterie, zejména s přihlédnutím k výsledkům pilotního projektu "Environmentální stopa výrobku"</w:t>
      </w:r>
      <w:r>
        <w:rPr>
          <w:rFonts w:cstheme="minorHAnsi"/>
          <w:color w:val="404040" w:themeColor="text1" w:themeTint="BF"/>
        </w:rPr>
        <w:t xml:space="preserve"> v úzké spolupráci s průmyslem.</w:t>
      </w:r>
    </w:p>
    <w:p w:rsidR="005942E7" w:rsidRPr="002E6155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předloží </w:t>
      </w:r>
      <w:r w:rsidRPr="002E6155">
        <w:rPr>
          <w:rFonts w:cstheme="minorHAnsi"/>
          <w:color w:val="404040" w:themeColor="text1" w:themeTint="BF"/>
        </w:rPr>
        <w:t>požadavky na udržiteln</w:t>
      </w:r>
      <w:r>
        <w:rPr>
          <w:rFonts w:cstheme="minorHAnsi"/>
          <w:color w:val="404040" w:themeColor="text1" w:themeTint="BF"/>
        </w:rPr>
        <w:t>é provedení a užívání</w:t>
      </w:r>
      <w:r w:rsidRPr="002E6155">
        <w:rPr>
          <w:rFonts w:cstheme="minorHAnsi"/>
          <w:color w:val="404040" w:themeColor="text1" w:themeTint="BF"/>
        </w:rPr>
        <w:t xml:space="preserve"> baterií všech</w:t>
      </w:r>
      <w:r>
        <w:rPr>
          <w:rFonts w:cstheme="minorHAnsi"/>
          <w:color w:val="404040" w:themeColor="text1" w:themeTint="BF"/>
        </w:rPr>
        <w:t xml:space="preserve"> baterií</w:t>
      </w:r>
      <w:r w:rsidRPr="002E6155">
        <w:rPr>
          <w:rFonts w:cstheme="minorHAnsi"/>
          <w:color w:val="404040" w:themeColor="text1" w:themeTint="BF"/>
        </w:rPr>
        <w:t xml:space="preserve">, které budou splněny při uvádění na trh (zahrnuje posouzení a vhodnost různých regulačních nástrojů, jako je směrnice o ekodesignu a nařízení o </w:t>
      </w:r>
      <w:r w:rsidRPr="00963578">
        <w:rPr>
          <w:rFonts w:cstheme="minorHAnsi"/>
          <w:color w:val="404040" w:themeColor="text1" w:themeTint="BF"/>
        </w:rPr>
        <w:t xml:space="preserve">označování energetickými štítky </w:t>
      </w:r>
      <w:r>
        <w:rPr>
          <w:rFonts w:cstheme="minorHAnsi"/>
          <w:color w:val="404040" w:themeColor="text1" w:themeTint="BF"/>
        </w:rPr>
        <w:t>a směrnice o </w:t>
      </w:r>
      <w:r w:rsidRPr="002E6155">
        <w:rPr>
          <w:rFonts w:cstheme="minorHAnsi"/>
          <w:color w:val="404040" w:themeColor="text1" w:themeTint="BF"/>
        </w:rPr>
        <w:t>bateriích</w:t>
      </w:r>
      <w:r>
        <w:rPr>
          <w:rFonts w:cstheme="minorHAnsi"/>
          <w:color w:val="404040" w:themeColor="text1" w:themeTint="BF"/>
        </w:rPr>
        <w:t>)</w:t>
      </w:r>
      <w:r w:rsidRPr="002E6155">
        <w:rPr>
          <w:rFonts w:cstheme="minorHAnsi"/>
          <w:color w:val="404040" w:themeColor="text1" w:themeTint="BF"/>
        </w:rPr>
        <w:t>. [Q4 2018]</w:t>
      </w:r>
    </w:p>
    <w:p w:rsidR="005942E7" w:rsidRPr="002E6155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buse </w:t>
      </w:r>
      <w:r w:rsidRPr="002E6155">
        <w:rPr>
          <w:rFonts w:cstheme="minorHAnsi"/>
          <w:color w:val="404040" w:themeColor="text1" w:themeTint="BF"/>
        </w:rPr>
        <w:t xml:space="preserve">sledovat soudržnost různých regulačních nástrojů (např. </w:t>
      </w:r>
      <w:r>
        <w:rPr>
          <w:rFonts w:cstheme="minorHAnsi"/>
          <w:color w:val="404040" w:themeColor="text1" w:themeTint="BF"/>
        </w:rPr>
        <w:t>n</w:t>
      </w:r>
      <w:r w:rsidRPr="002E6155">
        <w:rPr>
          <w:rFonts w:cstheme="minorHAnsi"/>
          <w:color w:val="404040" w:themeColor="text1" w:themeTint="BF"/>
        </w:rPr>
        <w:t>ařízení REACH, rámc</w:t>
      </w:r>
      <w:r>
        <w:rPr>
          <w:rFonts w:cstheme="minorHAnsi"/>
          <w:color w:val="404040" w:themeColor="text1" w:themeTint="BF"/>
        </w:rPr>
        <w:t>ová směrnice o odpadech atd.), a</w:t>
      </w:r>
      <w:r w:rsidRPr="002E6155">
        <w:rPr>
          <w:rFonts w:cstheme="minorHAnsi"/>
          <w:color w:val="404040" w:themeColor="text1" w:themeTint="BF"/>
        </w:rPr>
        <w:t>by se zajistilo hladké fungování vnitřního trhu s bateriemi, odpadními bateriemi a materiály získanými z recyklovaných baterií.</w:t>
      </w:r>
    </w:p>
    <w:p w:rsidR="005942E7" w:rsidRPr="002E6155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2E6155">
        <w:rPr>
          <w:rFonts w:cstheme="minorHAnsi"/>
          <w:color w:val="404040" w:themeColor="text1" w:themeTint="BF"/>
        </w:rPr>
        <w:t>zapojí zúčastněn</w:t>
      </w:r>
      <w:r>
        <w:rPr>
          <w:rFonts w:cstheme="minorHAnsi"/>
          <w:color w:val="404040" w:themeColor="text1" w:themeTint="BF"/>
        </w:rPr>
        <w:t>é</w:t>
      </w:r>
      <w:r w:rsidRPr="002E6155">
        <w:rPr>
          <w:rFonts w:cstheme="minorHAnsi"/>
          <w:color w:val="404040" w:themeColor="text1" w:themeTint="BF"/>
        </w:rPr>
        <w:t xml:space="preserve"> stran</w:t>
      </w:r>
      <w:r>
        <w:rPr>
          <w:rFonts w:cstheme="minorHAnsi"/>
          <w:color w:val="404040" w:themeColor="text1" w:themeTint="BF"/>
        </w:rPr>
        <w:t>y</w:t>
      </w:r>
      <w:r w:rsidRPr="002E6155">
        <w:rPr>
          <w:rFonts w:cstheme="minorHAnsi"/>
          <w:color w:val="404040" w:themeColor="text1" w:themeTint="BF"/>
        </w:rPr>
        <w:t xml:space="preserve"> a evropsk</w:t>
      </w:r>
      <w:r>
        <w:rPr>
          <w:rFonts w:cstheme="minorHAnsi"/>
          <w:color w:val="404040" w:themeColor="text1" w:themeTint="BF"/>
        </w:rPr>
        <w:t>é</w:t>
      </w:r>
      <w:r w:rsidRPr="002E6155">
        <w:rPr>
          <w:rFonts w:cstheme="minorHAnsi"/>
          <w:color w:val="404040" w:themeColor="text1" w:themeTint="BF"/>
        </w:rPr>
        <w:t xml:space="preserve"> normalizačními orgány s cílem vytvořit evropské </w:t>
      </w:r>
      <w:r>
        <w:rPr>
          <w:rFonts w:cstheme="minorHAnsi"/>
          <w:color w:val="404040" w:themeColor="text1" w:themeTint="BF"/>
        </w:rPr>
        <w:t>standardy</w:t>
      </w:r>
      <w:r w:rsidRPr="002E6155">
        <w:rPr>
          <w:rFonts w:cstheme="minorHAnsi"/>
          <w:color w:val="404040" w:themeColor="text1" w:themeTint="BF"/>
        </w:rPr>
        <w:t xml:space="preserve"> umožňující bezpečnou a udržitelnou výrobu, (opětovné) použití a recyklaci baterií, mimo jiné využitím prenormativního výzkumu. [2018-2019]</w:t>
      </w:r>
    </w:p>
    <w:p w:rsidR="005942E7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analyzuje</w:t>
      </w:r>
      <w:r w:rsidRPr="002E6155">
        <w:rPr>
          <w:rFonts w:cstheme="minorHAnsi"/>
          <w:color w:val="404040" w:themeColor="text1" w:themeTint="BF"/>
        </w:rPr>
        <w:t>, jak nejlépe podporovat druh</w:t>
      </w:r>
      <w:r>
        <w:rPr>
          <w:rFonts w:cstheme="minorHAnsi"/>
          <w:color w:val="404040" w:themeColor="text1" w:themeTint="BF"/>
        </w:rPr>
        <w:t xml:space="preserve">otné </w:t>
      </w:r>
      <w:r w:rsidRPr="002E6155">
        <w:rPr>
          <w:rFonts w:cstheme="minorHAnsi"/>
          <w:color w:val="404040" w:themeColor="text1" w:themeTint="BF"/>
        </w:rPr>
        <w:t>užití pokročilých baterií a používání obousměrných baterií [Q4 2019]</w:t>
      </w:r>
    </w:p>
    <w:p w:rsidR="005942E7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963578">
        <w:rPr>
          <w:rFonts w:cstheme="minorHAnsi"/>
          <w:color w:val="404040" w:themeColor="text1" w:themeTint="BF"/>
        </w:rPr>
        <w:t>podporovat etické získávání surovin pro průmysl baterií.</w:t>
      </w:r>
      <w:r>
        <w:rPr>
          <w:rFonts w:cstheme="minorHAnsi"/>
          <w:color w:val="404040" w:themeColor="text1" w:themeTint="BF"/>
        </w:rPr>
        <w:t xml:space="preserve"> </w:t>
      </w:r>
      <w:r w:rsidRPr="00963578">
        <w:rPr>
          <w:rFonts w:cstheme="minorHAnsi"/>
          <w:color w:val="404040" w:themeColor="text1" w:themeTint="BF"/>
        </w:rPr>
        <w:t>[Q1 2019]</w:t>
      </w:r>
    </w:p>
    <w:p w:rsidR="005942E7" w:rsidRDefault="005942E7" w:rsidP="005942E7">
      <w:pPr>
        <w:pStyle w:val="Odstavecseseznamem"/>
        <w:spacing w:after="0"/>
        <w:ind w:left="1440"/>
        <w:jc w:val="both"/>
        <w:rPr>
          <w:rFonts w:cstheme="minorHAnsi"/>
          <w:color w:val="404040" w:themeColor="text1" w:themeTint="BF"/>
        </w:rPr>
      </w:pPr>
    </w:p>
    <w:p w:rsidR="005942E7" w:rsidRPr="00963578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bude </w:t>
      </w:r>
      <w:r w:rsidRPr="00963578">
        <w:rPr>
          <w:rFonts w:cstheme="minorHAnsi"/>
          <w:color w:val="404040" w:themeColor="text1" w:themeTint="BF"/>
        </w:rPr>
        <w:t>sledovat a vypořád</w:t>
      </w:r>
      <w:r>
        <w:rPr>
          <w:rFonts w:cstheme="minorHAnsi"/>
          <w:color w:val="404040" w:themeColor="text1" w:themeTint="BF"/>
        </w:rPr>
        <w:t>á</w:t>
      </w:r>
      <w:r w:rsidRPr="00963578">
        <w:rPr>
          <w:rFonts w:cstheme="minorHAnsi"/>
          <w:color w:val="404040" w:themeColor="text1" w:themeTint="BF"/>
        </w:rPr>
        <w:t xml:space="preserve"> se s nekalými praktikami ve třetích zemích</w:t>
      </w:r>
      <w:r>
        <w:rPr>
          <w:rFonts w:cstheme="minorHAnsi"/>
          <w:color w:val="404040" w:themeColor="text1" w:themeTint="BF"/>
        </w:rPr>
        <w:t xml:space="preserve"> (</w:t>
      </w:r>
      <w:r w:rsidRPr="00963578">
        <w:rPr>
          <w:rFonts w:cstheme="minorHAnsi"/>
          <w:color w:val="404040" w:themeColor="text1" w:themeTint="BF"/>
        </w:rPr>
        <w:t>subvencování surovin nebo jiných výrobních vstupů</w:t>
      </w:r>
      <w:r>
        <w:rPr>
          <w:rFonts w:cstheme="minorHAnsi"/>
          <w:color w:val="404040" w:themeColor="text1" w:themeTint="BF"/>
        </w:rPr>
        <w:t>)</w:t>
      </w:r>
      <w:r w:rsidRPr="00963578">
        <w:rPr>
          <w:rFonts w:cstheme="minorHAnsi"/>
          <w:color w:val="404040" w:themeColor="text1" w:themeTint="BF"/>
        </w:rPr>
        <w:t xml:space="preserve"> pomocí opatření pro ochran</w:t>
      </w:r>
      <w:r>
        <w:rPr>
          <w:rFonts w:cstheme="minorHAnsi"/>
          <w:color w:val="404040" w:themeColor="text1" w:themeTint="BF"/>
        </w:rPr>
        <w:t>u</w:t>
      </w:r>
      <w:r w:rsidRPr="00963578">
        <w:rPr>
          <w:rFonts w:cstheme="minorHAnsi"/>
          <w:color w:val="404040" w:themeColor="text1" w:themeTint="BF"/>
        </w:rPr>
        <w:t xml:space="preserve"> obchodu</w:t>
      </w:r>
      <w:r>
        <w:rPr>
          <w:rFonts w:cstheme="minorHAnsi"/>
          <w:color w:val="404040" w:themeColor="text1" w:themeTint="BF"/>
        </w:rPr>
        <w:t xml:space="preserve">, která budou přijata na základě </w:t>
      </w:r>
      <w:r w:rsidRPr="00963578">
        <w:rPr>
          <w:rFonts w:cstheme="minorHAnsi"/>
          <w:color w:val="404040" w:themeColor="text1" w:themeTint="BF"/>
        </w:rPr>
        <w:t>antidumpingov</w:t>
      </w:r>
      <w:r>
        <w:rPr>
          <w:rFonts w:cstheme="minorHAnsi"/>
          <w:color w:val="404040" w:themeColor="text1" w:themeTint="BF"/>
        </w:rPr>
        <w:t>ých</w:t>
      </w:r>
      <w:r w:rsidRPr="00963578">
        <w:rPr>
          <w:rFonts w:cstheme="minorHAnsi"/>
          <w:color w:val="404040" w:themeColor="text1" w:themeTint="BF"/>
        </w:rPr>
        <w:t xml:space="preserve"> a/nebo antisubvenční</w:t>
      </w:r>
      <w:r>
        <w:rPr>
          <w:rFonts w:cstheme="minorHAnsi"/>
          <w:color w:val="404040" w:themeColor="text1" w:themeTint="BF"/>
        </w:rPr>
        <w:t>ch</w:t>
      </w:r>
      <w:r w:rsidRPr="00963578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řízení Komise, která byla zahájena po splnění právních podmínek</w:t>
      </w:r>
      <w:r w:rsidRPr="00963578">
        <w:rPr>
          <w:rFonts w:cstheme="minorHAnsi"/>
          <w:color w:val="404040" w:themeColor="text1" w:themeTint="BF"/>
        </w:rPr>
        <w:t>. [</w:t>
      </w:r>
      <w:r>
        <w:rPr>
          <w:rFonts w:cstheme="minorHAnsi"/>
          <w:color w:val="404040" w:themeColor="text1" w:themeTint="BF"/>
        </w:rPr>
        <w:t>průběžně</w:t>
      </w:r>
      <w:r w:rsidRPr="00963578">
        <w:rPr>
          <w:rFonts w:cstheme="minorHAnsi"/>
          <w:color w:val="404040" w:themeColor="text1" w:themeTint="BF"/>
        </w:rPr>
        <w:t>]</w:t>
      </w:r>
    </w:p>
    <w:p w:rsidR="005942E7" w:rsidRPr="00963578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bude</w:t>
      </w:r>
      <w:r w:rsidRPr="00963578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sledovat</w:t>
      </w:r>
      <w:r w:rsidRPr="00963578">
        <w:rPr>
          <w:rFonts w:cstheme="minorHAnsi"/>
          <w:color w:val="404040" w:themeColor="text1" w:themeTint="BF"/>
        </w:rPr>
        <w:t xml:space="preserve"> a řešit narušení/překážky přístupu na trh tím, že v souladu se strategií EU pro přístup na trh </w:t>
      </w:r>
      <w:r>
        <w:rPr>
          <w:rFonts w:cstheme="minorHAnsi"/>
          <w:color w:val="404040" w:themeColor="text1" w:themeTint="BF"/>
        </w:rPr>
        <w:t>identifikuje a odstraní</w:t>
      </w:r>
      <w:r w:rsidRPr="00963578">
        <w:rPr>
          <w:rFonts w:cstheme="minorHAnsi"/>
          <w:color w:val="404040" w:themeColor="text1" w:themeTint="BF"/>
        </w:rPr>
        <w:t xml:space="preserve"> překážky ve třetích zemíc</w:t>
      </w:r>
      <w:r>
        <w:rPr>
          <w:rFonts w:cstheme="minorHAnsi"/>
          <w:color w:val="404040" w:themeColor="text1" w:themeTint="BF"/>
        </w:rPr>
        <w:t>h</w:t>
      </w:r>
      <w:r w:rsidRPr="00963578">
        <w:rPr>
          <w:rFonts w:cstheme="minorHAnsi"/>
          <w:color w:val="404040" w:themeColor="text1" w:themeTint="BF"/>
        </w:rPr>
        <w:t>. [2018-2019]</w:t>
      </w:r>
    </w:p>
    <w:p w:rsidR="005942E7" w:rsidRPr="00963578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zajistí</w:t>
      </w:r>
      <w:r w:rsidRPr="00963578">
        <w:rPr>
          <w:rFonts w:cstheme="minorHAnsi"/>
          <w:color w:val="404040" w:themeColor="text1" w:themeTint="BF"/>
        </w:rPr>
        <w:t xml:space="preserve"> soulad mezi pravidly</w:t>
      </w:r>
      <w:r>
        <w:rPr>
          <w:rFonts w:cstheme="minorHAnsi"/>
          <w:color w:val="404040" w:themeColor="text1" w:themeTint="BF"/>
        </w:rPr>
        <w:t xml:space="preserve"> o</w:t>
      </w:r>
      <w:r w:rsidRPr="00963578">
        <w:rPr>
          <w:rFonts w:cstheme="minorHAnsi"/>
          <w:color w:val="404040" w:themeColor="text1" w:themeTint="BF"/>
        </w:rPr>
        <w:t xml:space="preserve"> původu elek</w:t>
      </w:r>
      <w:r>
        <w:rPr>
          <w:rFonts w:cstheme="minorHAnsi"/>
          <w:color w:val="404040" w:themeColor="text1" w:themeTint="BF"/>
        </w:rPr>
        <w:t>trických vozidel a bateriových článků</w:t>
      </w:r>
      <w:r w:rsidRPr="00963578">
        <w:rPr>
          <w:rFonts w:cstheme="minorHAnsi"/>
          <w:color w:val="404040" w:themeColor="text1" w:themeTint="BF"/>
        </w:rPr>
        <w:t xml:space="preserve"> v rámci vnější obchodní politiky tím, že stanoví, že jednání o dohodě o volném obchodu týkající se pravidel původu elektrických automobilů a/nebo baterií plně zohledňují v</w:t>
      </w:r>
      <w:r>
        <w:rPr>
          <w:rFonts w:cstheme="minorHAnsi"/>
          <w:color w:val="404040" w:themeColor="text1" w:themeTint="BF"/>
        </w:rPr>
        <w:t>ývoj výroby a obchod s </w:t>
      </w:r>
      <w:r w:rsidRPr="00963578">
        <w:rPr>
          <w:rFonts w:cstheme="minorHAnsi"/>
          <w:color w:val="404040" w:themeColor="text1" w:themeTint="BF"/>
        </w:rPr>
        <w:t>elektrickými automobily a bateriemi. [2018-2019]</w:t>
      </w:r>
    </w:p>
    <w:p w:rsidR="005942E7" w:rsidRDefault="005942E7" w:rsidP="00B6003D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z</w:t>
      </w:r>
      <w:r w:rsidRPr="00963578">
        <w:rPr>
          <w:rFonts w:cstheme="minorHAnsi"/>
          <w:color w:val="404040" w:themeColor="text1" w:themeTint="BF"/>
        </w:rPr>
        <w:t>ajist</w:t>
      </w:r>
      <w:r>
        <w:rPr>
          <w:rFonts w:cstheme="minorHAnsi"/>
          <w:color w:val="404040" w:themeColor="text1" w:themeTint="BF"/>
        </w:rPr>
        <w:t>í</w:t>
      </w:r>
      <w:r w:rsidRPr="00963578">
        <w:rPr>
          <w:rFonts w:cstheme="minorHAnsi"/>
          <w:color w:val="404040" w:themeColor="text1" w:themeTint="BF"/>
        </w:rPr>
        <w:t>, aby politika EU/širší regulační rámec řešila vznikající lidské, zdravotní a environmentální problémy spojené s bateriemi a přispív</w:t>
      </w:r>
      <w:r>
        <w:rPr>
          <w:rFonts w:cstheme="minorHAnsi"/>
          <w:color w:val="404040" w:themeColor="text1" w:themeTint="BF"/>
        </w:rPr>
        <w:t>ala</w:t>
      </w:r>
      <w:r w:rsidRPr="00963578">
        <w:rPr>
          <w:rFonts w:cstheme="minorHAnsi"/>
          <w:color w:val="404040" w:themeColor="text1" w:themeTint="BF"/>
        </w:rPr>
        <w:t xml:space="preserve"> k rozvoji a zavádění inovací v</w:t>
      </w:r>
      <w:r>
        <w:rPr>
          <w:rFonts w:cstheme="minorHAnsi"/>
          <w:color w:val="404040" w:themeColor="text1" w:themeTint="BF"/>
        </w:rPr>
        <w:t xml:space="preserve"> oblasti </w:t>
      </w:r>
      <w:r w:rsidRPr="00963578">
        <w:rPr>
          <w:rFonts w:cstheme="minorHAnsi"/>
          <w:color w:val="404040" w:themeColor="text1" w:themeTint="BF"/>
        </w:rPr>
        <w:t>nových technologiích baterií [</w:t>
      </w:r>
      <w:r>
        <w:rPr>
          <w:rFonts w:cstheme="minorHAnsi"/>
          <w:color w:val="404040" w:themeColor="text1" w:themeTint="BF"/>
        </w:rPr>
        <w:t>průběžně</w:t>
      </w:r>
      <w:r w:rsidRPr="00963578">
        <w:rPr>
          <w:rFonts w:cstheme="minorHAnsi"/>
          <w:color w:val="404040" w:themeColor="text1" w:themeTint="BF"/>
        </w:rPr>
        <w:t>].</w:t>
      </w:r>
    </w:p>
    <w:p w:rsidR="005942E7" w:rsidRPr="00B27B84" w:rsidRDefault="005942E7" w:rsidP="00B6003D">
      <w:pPr>
        <w:pStyle w:val="Odstavecseseznamem"/>
        <w:numPr>
          <w:ilvl w:val="1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Komise na základě těchto 4 opatření </w:t>
      </w:r>
      <w:r w:rsidRPr="00B27B84">
        <w:rPr>
          <w:rFonts w:cstheme="minorHAnsi"/>
          <w:color w:val="404040" w:themeColor="text1" w:themeTint="BF"/>
        </w:rPr>
        <w:t>vyzývá Evropský parlament a Radu, aby rychle přijaly:</w:t>
      </w:r>
    </w:p>
    <w:p w:rsidR="005942E7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963578">
        <w:rPr>
          <w:rFonts w:cstheme="minorHAnsi"/>
          <w:color w:val="404040" w:themeColor="text1" w:themeTint="BF"/>
        </w:rPr>
        <w:t>revidovanou směrnici o čistých vozidlech</w:t>
      </w:r>
      <w:r>
        <w:rPr>
          <w:rFonts w:cstheme="minorHAnsi"/>
          <w:color w:val="404040" w:themeColor="text1" w:themeTint="BF"/>
        </w:rPr>
        <w:t>,</w:t>
      </w:r>
    </w:p>
    <w:p w:rsidR="005942E7" w:rsidRPr="00963578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963578">
        <w:rPr>
          <w:rFonts w:cstheme="minorHAnsi"/>
          <w:color w:val="404040" w:themeColor="text1" w:themeTint="BF"/>
        </w:rPr>
        <w:t>nové normy pro emise 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963578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u</w:t>
      </w:r>
      <w:r w:rsidRPr="00963578">
        <w:rPr>
          <w:rFonts w:cstheme="minorHAnsi"/>
          <w:color w:val="404040" w:themeColor="text1" w:themeTint="BF"/>
        </w:rPr>
        <w:t xml:space="preserve"> automobil</w:t>
      </w:r>
      <w:r>
        <w:rPr>
          <w:rFonts w:cstheme="minorHAnsi"/>
          <w:color w:val="404040" w:themeColor="text1" w:themeTint="BF"/>
        </w:rPr>
        <w:t>ů</w:t>
      </w:r>
      <w:r w:rsidRPr="00963578">
        <w:rPr>
          <w:rFonts w:cstheme="minorHAnsi"/>
          <w:color w:val="404040" w:themeColor="text1" w:themeTint="BF"/>
        </w:rPr>
        <w:t>, dodáv</w:t>
      </w:r>
      <w:r>
        <w:rPr>
          <w:rFonts w:cstheme="minorHAnsi"/>
          <w:color w:val="404040" w:themeColor="text1" w:themeTint="BF"/>
        </w:rPr>
        <w:t>e</w:t>
      </w:r>
      <w:r w:rsidRPr="00963578">
        <w:rPr>
          <w:rFonts w:cstheme="minorHAnsi"/>
          <w:color w:val="404040" w:themeColor="text1" w:themeTint="BF"/>
        </w:rPr>
        <w:t>k a těžk</w:t>
      </w:r>
      <w:r>
        <w:rPr>
          <w:rFonts w:cstheme="minorHAnsi"/>
          <w:color w:val="404040" w:themeColor="text1" w:themeTint="BF"/>
        </w:rPr>
        <w:t>ých</w:t>
      </w:r>
      <w:r w:rsidR="00AF0ADE">
        <w:rPr>
          <w:rFonts w:cstheme="minorHAnsi"/>
          <w:color w:val="404040" w:themeColor="text1" w:themeTint="BF"/>
        </w:rPr>
        <w:t xml:space="preserve"> užitkových</w:t>
      </w:r>
      <w:r>
        <w:rPr>
          <w:rFonts w:cstheme="minorHAnsi"/>
          <w:color w:val="404040" w:themeColor="text1" w:themeTint="BF"/>
        </w:rPr>
        <w:t xml:space="preserve"> vozidel</w:t>
      </w:r>
      <w:r w:rsidR="00AF0ADE">
        <w:rPr>
          <w:rFonts w:cstheme="minorHAnsi"/>
          <w:color w:val="404040" w:themeColor="text1" w:themeTint="BF"/>
        </w:rPr>
        <w:t xml:space="preserve"> HDV</w:t>
      </w:r>
      <w:r>
        <w:rPr>
          <w:rFonts w:cstheme="minorHAnsi"/>
          <w:color w:val="404040" w:themeColor="text1" w:themeTint="BF"/>
        </w:rPr>
        <w:t>,</w:t>
      </w:r>
    </w:p>
    <w:p w:rsidR="005942E7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963578">
        <w:rPr>
          <w:rFonts w:cstheme="minorHAnsi"/>
          <w:color w:val="404040" w:themeColor="text1" w:themeTint="BF"/>
        </w:rPr>
        <w:t>přepracování směrnice o obnovitelných zdrojích energie (RED II)</w:t>
      </w:r>
      <w:r>
        <w:rPr>
          <w:rFonts w:cstheme="minorHAnsi"/>
          <w:color w:val="404040" w:themeColor="text1" w:themeTint="BF"/>
        </w:rPr>
        <w:t>,</w:t>
      </w:r>
    </w:p>
    <w:p w:rsidR="005942E7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 w:rsidRPr="00963578">
        <w:rPr>
          <w:rFonts w:cstheme="minorHAnsi"/>
          <w:color w:val="404040" w:themeColor="text1" w:themeTint="BF"/>
        </w:rPr>
        <w:t>přepracování nařízení o elektrickém trhu a směrnice</w:t>
      </w:r>
      <w:r>
        <w:rPr>
          <w:rFonts w:cstheme="minorHAnsi"/>
          <w:color w:val="404040" w:themeColor="text1" w:themeTint="BF"/>
        </w:rPr>
        <w:t>,</w:t>
      </w:r>
    </w:p>
    <w:p w:rsidR="005942E7" w:rsidRPr="00963578" w:rsidRDefault="005942E7" w:rsidP="00B6003D">
      <w:pPr>
        <w:pStyle w:val="Odstavecseseznamem"/>
        <w:numPr>
          <w:ilvl w:val="1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Komise</w:t>
      </w:r>
      <w:r w:rsidRPr="00963578">
        <w:rPr>
          <w:rFonts w:cstheme="minorHAnsi"/>
          <w:color w:val="404040" w:themeColor="text1" w:themeTint="BF"/>
        </w:rPr>
        <w:t xml:space="preserve"> bude úzce spolupracovat s členskými státy na:</w:t>
      </w:r>
    </w:p>
    <w:p w:rsidR="005942E7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lastRenderedPageBreak/>
        <w:t>zajištění</w:t>
      </w:r>
      <w:r w:rsidRPr="00963578">
        <w:rPr>
          <w:rFonts w:cstheme="minorHAnsi"/>
          <w:color w:val="404040" w:themeColor="text1" w:themeTint="BF"/>
        </w:rPr>
        <w:t xml:space="preserve"> včasn</w:t>
      </w:r>
      <w:r>
        <w:rPr>
          <w:rFonts w:cstheme="minorHAnsi"/>
          <w:color w:val="404040" w:themeColor="text1" w:themeTint="BF"/>
        </w:rPr>
        <w:t xml:space="preserve">é </w:t>
      </w:r>
      <w:r w:rsidRPr="00963578">
        <w:rPr>
          <w:rFonts w:cstheme="minorHAnsi"/>
          <w:color w:val="404040" w:themeColor="text1" w:themeTint="BF"/>
        </w:rPr>
        <w:t>transpozic</w:t>
      </w:r>
      <w:r>
        <w:rPr>
          <w:rFonts w:cstheme="minorHAnsi"/>
          <w:color w:val="404040" w:themeColor="text1" w:themeTint="BF"/>
        </w:rPr>
        <w:t>e</w:t>
      </w:r>
      <w:r w:rsidRPr="00963578">
        <w:rPr>
          <w:rFonts w:cstheme="minorHAnsi"/>
          <w:color w:val="404040" w:themeColor="text1" w:themeTint="BF"/>
        </w:rPr>
        <w:t xml:space="preserve"> a účinné</w:t>
      </w:r>
      <w:r>
        <w:rPr>
          <w:rFonts w:cstheme="minorHAnsi"/>
          <w:color w:val="404040" w:themeColor="text1" w:themeTint="BF"/>
        </w:rPr>
        <w:t>ho</w:t>
      </w:r>
      <w:r w:rsidRPr="00963578">
        <w:rPr>
          <w:rFonts w:cstheme="minorHAnsi"/>
          <w:color w:val="404040" w:themeColor="text1" w:themeTint="BF"/>
        </w:rPr>
        <w:t xml:space="preserve"> prová</w:t>
      </w:r>
      <w:r>
        <w:rPr>
          <w:rFonts w:cstheme="minorHAnsi"/>
          <w:color w:val="404040" w:themeColor="text1" w:themeTint="BF"/>
        </w:rPr>
        <w:t>dění těchto právních předpisů a </w:t>
      </w:r>
      <w:r w:rsidRPr="00963578">
        <w:rPr>
          <w:rFonts w:cstheme="minorHAnsi"/>
          <w:color w:val="404040" w:themeColor="text1" w:themeTint="BF"/>
        </w:rPr>
        <w:t xml:space="preserve">pozměněné </w:t>
      </w:r>
      <w:r>
        <w:rPr>
          <w:rFonts w:cstheme="minorHAnsi"/>
          <w:color w:val="404040" w:themeColor="text1" w:themeTint="BF"/>
        </w:rPr>
        <w:t>směrnice</w:t>
      </w:r>
      <w:r w:rsidRPr="00124B37">
        <w:rPr>
          <w:rFonts w:cstheme="minorHAnsi"/>
          <w:color w:val="404040" w:themeColor="text1" w:themeTint="BF"/>
        </w:rPr>
        <w:t xml:space="preserve"> o energetické náročnosti budov</w:t>
      </w:r>
      <w:r>
        <w:rPr>
          <w:rFonts w:cstheme="minorHAnsi"/>
          <w:color w:val="404040" w:themeColor="text1" w:themeTint="BF"/>
        </w:rPr>
        <w:t>,</w:t>
      </w:r>
    </w:p>
    <w:p w:rsidR="005942E7" w:rsidRDefault="005942E7" w:rsidP="00B6003D">
      <w:pPr>
        <w:pStyle w:val="Odstavecseseznamem"/>
        <w:numPr>
          <w:ilvl w:val="2"/>
          <w:numId w:val="26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urychlení</w:t>
      </w:r>
      <w:r w:rsidRPr="00124B37">
        <w:rPr>
          <w:rFonts w:cstheme="minorHAnsi"/>
          <w:color w:val="404040" w:themeColor="text1" w:themeTint="BF"/>
        </w:rPr>
        <w:t xml:space="preserve"> zavádění infrastruktury pro alternati</w:t>
      </w:r>
      <w:r>
        <w:rPr>
          <w:rFonts w:cstheme="minorHAnsi"/>
          <w:color w:val="404040" w:themeColor="text1" w:themeTint="BF"/>
        </w:rPr>
        <w:t>vní paliva, jak je doporučeno v </w:t>
      </w:r>
      <w:r w:rsidRPr="00124B37">
        <w:rPr>
          <w:rFonts w:cstheme="minorHAnsi"/>
          <w:color w:val="404040" w:themeColor="text1" w:themeTint="BF"/>
        </w:rPr>
        <w:t xml:space="preserve">akčním plánu a podporováno </w:t>
      </w:r>
      <w:r>
        <w:rPr>
          <w:rFonts w:cstheme="minorHAnsi"/>
          <w:color w:val="404040" w:themeColor="text1" w:themeTint="BF"/>
        </w:rPr>
        <w:t>N</w:t>
      </w:r>
      <w:r w:rsidRPr="00124B37">
        <w:rPr>
          <w:rFonts w:cstheme="minorHAnsi"/>
          <w:color w:val="404040" w:themeColor="text1" w:themeTint="BF"/>
        </w:rPr>
        <w:t>ástroje</w:t>
      </w:r>
      <w:r>
        <w:rPr>
          <w:rFonts w:cstheme="minorHAnsi"/>
          <w:color w:val="404040" w:themeColor="text1" w:themeTint="BF"/>
        </w:rPr>
        <w:t>m</w:t>
      </w:r>
      <w:r w:rsidRPr="00124B37">
        <w:rPr>
          <w:rFonts w:cstheme="minorHAnsi"/>
          <w:color w:val="404040" w:themeColor="text1" w:themeTint="BF"/>
        </w:rPr>
        <w:t xml:space="preserve"> pro propojení Evropy</w:t>
      </w:r>
      <w:r>
        <w:rPr>
          <w:rFonts w:cstheme="minorHAnsi"/>
          <w:color w:val="404040" w:themeColor="text1" w:themeTint="BF"/>
        </w:rPr>
        <w:t xml:space="preserve"> CEF.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Komise vyzívá všechny dotčené strany průmyslu, aby se zúčastnili této iniciativy, a členské státy, aby podporovaly projekty v oblasti baterií a zjednodušili povolovací procesy pro pilotní linky</w:t>
      </w:r>
      <w:r w:rsidRPr="00630A9B">
        <w:rPr>
          <w:rFonts w:cstheme="minorHAnsi"/>
          <w:color w:val="404040" w:themeColor="text1" w:themeTint="BF"/>
        </w:rPr>
        <w:t xml:space="preserve"> a příslušné průmyslové projekty</w:t>
      </w:r>
      <w:r>
        <w:rPr>
          <w:rFonts w:cstheme="minorHAnsi"/>
          <w:color w:val="404040" w:themeColor="text1" w:themeTint="BF"/>
        </w:rPr>
        <w:t>.</w:t>
      </w:r>
    </w:p>
    <w:p w:rsidR="005942E7" w:rsidRDefault="005942E7" w:rsidP="005942E7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br w:type="page"/>
      </w:r>
    </w:p>
    <w:p w:rsidR="005942E7" w:rsidRPr="00202254" w:rsidRDefault="005942E7" w:rsidP="005942E7">
      <w:pPr>
        <w:pStyle w:val="Odstavecseseznamem"/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</w:rPr>
      </w:pPr>
      <w:bookmarkStart w:id="13" w:name="_Ref515184684"/>
      <w:r w:rsidRPr="00202254">
        <w:rPr>
          <w:b/>
          <w:color w:val="404040" w:themeColor="text1" w:themeTint="BF"/>
        </w:rPr>
        <w:lastRenderedPageBreak/>
        <w:t>Normy CO</w:t>
      </w:r>
      <w:r w:rsidRPr="00202254">
        <w:rPr>
          <w:b/>
          <w:color w:val="404040" w:themeColor="text1" w:themeTint="BF"/>
          <w:vertAlign w:val="subscript"/>
        </w:rPr>
        <w:t>2</w:t>
      </w:r>
      <w:r w:rsidRPr="00202254">
        <w:rPr>
          <w:b/>
          <w:color w:val="404040" w:themeColor="text1" w:themeTint="BF"/>
        </w:rPr>
        <w:t xml:space="preserve"> pro těžká </w:t>
      </w:r>
      <w:r w:rsidR="00AF0ADE">
        <w:rPr>
          <w:b/>
          <w:color w:val="404040" w:themeColor="text1" w:themeTint="BF"/>
        </w:rPr>
        <w:t xml:space="preserve">užitková </w:t>
      </w:r>
      <w:r w:rsidRPr="00202254">
        <w:rPr>
          <w:b/>
          <w:color w:val="404040" w:themeColor="text1" w:themeTint="BF"/>
        </w:rPr>
        <w:t>vozidla</w:t>
      </w:r>
      <w:r w:rsidR="00AF0ADE">
        <w:rPr>
          <w:b/>
          <w:color w:val="404040" w:themeColor="text1" w:themeTint="BF"/>
        </w:rPr>
        <w:t xml:space="preserve"> HDV</w:t>
      </w:r>
      <w:r w:rsidR="00315741">
        <w:rPr>
          <w:b/>
          <w:color w:val="404040" w:themeColor="text1" w:themeTint="BF"/>
        </w:rPr>
        <w:tab/>
      </w:r>
      <w:r w:rsidR="00315741">
        <w:rPr>
          <w:b/>
          <w:color w:val="404040" w:themeColor="text1" w:themeTint="BF"/>
        </w:rPr>
        <w:tab/>
      </w:r>
      <w:r w:rsidR="00315741">
        <w:rPr>
          <w:b/>
          <w:color w:val="404040" w:themeColor="text1" w:themeTint="BF"/>
        </w:rPr>
        <w:tab/>
      </w:r>
      <w:r w:rsidR="00315741">
        <w:rPr>
          <w:b/>
          <w:color w:val="404040" w:themeColor="text1" w:themeTint="BF"/>
        </w:rPr>
        <w:tab/>
      </w:r>
      <w:r w:rsidR="00315741">
        <w:rPr>
          <w:b/>
          <w:color w:val="404040" w:themeColor="text1" w:themeTint="BF"/>
        </w:rPr>
        <w:tab/>
      </w:r>
      <w:r w:rsidR="00315741">
        <w:rPr>
          <w:b/>
          <w:color w:val="404040" w:themeColor="text1" w:themeTint="BF"/>
        </w:rPr>
        <w:tab/>
      </w:r>
      <w:r w:rsidR="00315741">
        <w:rPr>
          <w:rFonts w:ascii="Calibri" w:hAnsi="Calibri" w:cs="Calibri"/>
          <w:b/>
          <w:color w:val="404040" w:themeColor="text1" w:themeTint="BF"/>
        </w:rPr>
        <w:fldChar w:fldCharType="begin"/>
      </w:r>
      <w:r w:rsidR="00315741">
        <w:rPr>
          <w:rFonts w:ascii="Calibri" w:hAnsi="Calibri" w:cs="Calibri"/>
          <w:b/>
          <w:color w:val="404040" w:themeColor="text1" w:themeTint="BF"/>
        </w:rPr>
        <w:instrText xml:space="preserve"> REF _Ref515183578 \h </w:instrText>
      </w:r>
      <w:r w:rsidR="00315741">
        <w:rPr>
          <w:rFonts w:ascii="Calibri" w:hAnsi="Calibri" w:cs="Calibri"/>
          <w:b/>
          <w:color w:val="404040" w:themeColor="text1" w:themeTint="BF"/>
        </w:rPr>
      </w:r>
      <w:r w:rsidR="00315741">
        <w:rPr>
          <w:rFonts w:ascii="Calibri" w:hAnsi="Calibri" w:cs="Calibri"/>
          <w:b/>
          <w:color w:val="404040" w:themeColor="text1" w:themeTint="BF"/>
        </w:rPr>
        <w:fldChar w:fldCharType="separate"/>
      </w:r>
      <w:r w:rsidR="00315741">
        <w:rPr>
          <w:rFonts w:ascii="Calibri" w:hAnsi="Calibri" w:cs="Calibri"/>
          <w:color w:val="FF0000"/>
        </w:rPr>
        <w:t>přejít na obsah</w:t>
      </w:r>
      <w:r w:rsidR="00315741">
        <w:rPr>
          <w:rFonts w:ascii="Calibri" w:hAnsi="Calibri" w:cs="Calibri"/>
          <w:b/>
          <w:color w:val="404040" w:themeColor="text1" w:themeTint="BF"/>
        </w:rPr>
        <w:fldChar w:fldCharType="end"/>
      </w:r>
      <w:bookmarkEnd w:id="13"/>
    </w:p>
    <w:p w:rsidR="005942E7" w:rsidRPr="00904CF5" w:rsidRDefault="00316E66" w:rsidP="005942E7">
      <w:pPr>
        <w:pStyle w:val="Odstavecseseznamem"/>
        <w:numPr>
          <w:ilvl w:val="1"/>
          <w:numId w:val="3"/>
        </w:numPr>
        <w:spacing w:after="0"/>
        <w:jc w:val="both"/>
        <w:rPr>
          <w:rFonts w:ascii="Calibri" w:hAnsi="Calibri" w:cs="Calibri"/>
          <w:b/>
          <w:color w:val="404040" w:themeColor="text1" w:themeTint="BF"/>
          <w:sz w:val="20"/>
        </w:rPr>
      </w:pPr>
      <w:hyperlink r:id="rId124" w:history="1">
        <w:r w:rsidR="005942E7" w:rsidRPr="00904CF5">
          <w:rPr>
            <w:rStyle w:val="Hypertextovodkaz"/>
            <w:b/>
            <w:color w:val="4040FF" w:themeColor="hyperlink" w:themeTint="BF"/>
            <w:sz w:val="20"/>
          </w:rPr>
          <w:t xml:space="preserve">Návrh nařízení, kterým se stanoví výkonnostní emisní normy pro nová těžká </w:t>
        </w:r>
        <w:r w:rsidR="00AF0ADE">
          <w:rPr>
            <w:rStyle w:val="Hypertextovodkaz"/>
            <w:b/>
            <w:color w:val="4040FF" w:themeColor="hyperlink" w:themeTint="BF"/>
            <w:sz w:val="20"/>
          </w:rPr>
          <w:t xml:space="preserve">užitková </w:t>
        </w:r>
        <w:r w:rsidR="005942E7" w:rsidRPr="00904CF5">
          <w:rPr>
            <w:rStyle w:val="Hypertextovodkaz"/>
            <w:b/>
            <w:color w:val="4040FF" w:themeColor="hyperlink" w:themeTint="BF"/>
            <w:sz w:val="20"/>
          </w:rPr>
          <w:t>vozidl</w:t>
        </w:r>
        <w:r w:rsidR="00FB5834">
          <w:rPr>
            <w:rStyle w:val="Hypertextovodkaz"/>
            <w:b/>
            <w:color w:val="4040FF" w:themeColor="hyperlink" w:themeTint="BF"/>
            <w:sz w:val="20"/>
          </w:rPr>
          <w:t>a HDV</w:t>
        </w:r>
      </w:hyperlink>
    </w:p>
    <w:p w:rsidR="005942E7" w:rsidRPr="00904CF5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125" w:history="1">
        <w:r w:rsidR="005942E7" w:rsidRPr="00904CF5">
          <w:rPr>
            <w:rStyle w:val="Hypertextovodkaz"/>
            <w:rFonts w:ascii="Calibri" w:hAnsi="Calibri" w:cs="Calibri"/>
            <w:sz w:val="20"/>
          </w:rPr>
          <w:t>Posouzení dopadů</w:t>
        </w:r>
      </w:hyperlink>
    </w:p>
    <w:p w:rsidR="005942E7" w:rsidRPr="00904CF5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126" w:history="1">
        <w:r w:rsidR="005942E7" w:rsidRPr="00904CF5">
          <w:rPr>
            <w:rStyle w:val="Hypertextovodkaz"/>
            <w:rFonts w:ascii="Calibri" w:hAnsi="Calibri" w:cs="Calibri"/>
            <w:sz w:val="20"/>
          </w:rPr>
          <w:t>Shrnutí posouzení dopadů</w:t>
        </w:r>
      </w:hyperlink>
    </w:p>
    <w:p w:rsidR="005942E7" w:rsidRPr="00904CF5" w:rsidRDefault="00316E66" w:rsidP="005942E7">
      <w:pPr>
        <w:pStyle w:val="Odstavecseseznamem"/>
        <w:numPr>
          <w:ilvl w:val="2"/>
          <w:numId w:val="3"/>
        </w:numPr>
        <w:spacing w:after="0"/>
        <w:jc w:val="both"/>
        <w:rPr>
          <w:rFonts w:ascii="Calibri" w:hAnsi="Calibri" w:cs="Calibri"/>
          <w:color w:val="404040" w:themeColor="text1" w:themeTint="BF"/>
          <w:sz w:val="20"/>
        </w:rPr>
      </w:pPr>
      <w:hyperlink r:id="rId127" w:history="1">
        <w:r w:rsidR="005942E7" w:rsidRPr="00904CF5">
          <w:rPr>
            <w:rStyle w:val="Hypertextovodkaz"/>
            <w:rFonts w:ascii="Calibri" w:hAnsi="Calibri" w:cs="Calibri"/>
            <w:sz w:val="20"/>
          </w:rPr>
          <w:t>Otázky a odpovědi týkající se návrhu norem pro emise CO</w:t>
        </w:r>
        <w:r w:rsidR="005942E7" w:rsidRPr="00904CF5">
          <w:rPr>
            <w:rStyle w:val="Hypertextovodkaz"/>
            <w:rFonts w:ascii="Calibri" w:hAnsi="Calibri" w:cs="Calibri"/>
            <w:sz w:val="20"/>
            <w:vertAlign w:val="subscript"/>
          </w:rPr>
          <w:t>2</w:t>
        </w:r>
        <w:r w:rsidR="005942E7" w:rsidRPr="00904CF5">
          <w:rPr>
            <w:rStyle w:val="Hypertextovodkaz"/>
            <w:rFonts w:ascii="Calibri" w:hAnsi="Calibri" w:cs="Calibri"/>
            <w:sz w:val="20"/>
          </w:rPr>
          <w:t xml:space="preserve"> pro těžká </w:t>
        </w:r>
        <w:r w:rsidR="001920D9">
          <w:rPr>
            <w:rStyle w:val="Hypertextovodkaz"/>
            <w:rFonts w:ascii="Calibri" w:hAnsi="Calibri" w:cs="Calibri"/>
            <w:sz w:val="20"/>
          </w:rPr>
          <w:t>užitková</w:t>
        </w:r>
        <w:r w:rsidR="005942E7" w:rsidRPr="00904CF5">
          <w:rPr>
            <w:rStyle w:val="Hypertextovodkaz"/>
            <w:rFonts w:ascii="Calibri" w:hAnsi="Calibri" w:cs="Calibri"/>
            <w:sz w:val="20"/>
          </w:rPr>
          <w:t xml:space="preserve"> vozidla</w:t>
        </w:r>
      </w:hyperlink>
      <w:r w:rsidR="001920D9">
        <w:rPr>
          <w:rStyle w:val="Hypertextovodkaz"/>
          <w:rFonts w:ascii="Calibri" w:hAnsi="Calibri" w:cs="Calibri"/>
          <w:sz w:val="20"/>
        </w:rPr>
        <w:t xml:space="preserve"> HDV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252BA0">
        <w:rPr>
          <w:rFonts w:cstheme="minorHAnsi"/>
          <w:color w:val="404040" w:themeColor="text1" w:themeTint="BF"/>
        </w:rPr>
        <w:t>Silniční nákladní doprava je nezbytná pro roz</w:t>
      </w:r>
      <w:r w:rsidR="000145A9">
        <w:rPr>
          <w:rFonts w:cstheme="minorHAnsi"/>
          <w:color w:val="404040" w:themeColor="text1" w:themeTint="BF"/>
        </w:rPr>
        <w:t>voj obchodu v EU</w:t>
      </w:r>
      <w:r w:rsidRPr="00252BA0">
        <w:rPr>
          <w:rFonts w:cstheme="minorHAnsi"/>
          <w:color w:val="404040" w:themeColor="text1" w:themeTint="BF"/>
        </w:rPr>
        <w:t xml:space="preserve">. </w:t>
      </w:r>
      <w:r>
        <w:rPr>
          <w:rFonts w:cstheme="minorHAnsi"/>
          <w:color w:val="404040" w:themeColor="text1" w:themeTint="BF"/>
        </w:rPr>
        <w:t>Kamiony</w:t>
      </w:r>
      <w:r w:rsidRPr="00252BA0">
        <w:rPr>
          <w:rFonts w:cstheme="minorHAnsi"/>
          <w:color w:val="404040" w:themeColor="text1" w:themeTint="BF"/>
        </w:rPr>
        <w:t xml:space="preserve"> přepravují kolem 70</w:t>
      </w:r>
      <w:r>
        <w:rPr>
          <w:rFonts w:cstheme="minorHAnsi"/>
          <w:color w:val="404040" w:themeColor="text1" w:themeTint="BF"/>
        </w:rPr>
        <w:t xml:space="preserve"> </w:t>
      </w:r>
      <w:r w:rsidRPr="00252BA0">
        <w:rPr>
          <w:rFonts w:cstheme="minorHAnsi"/>
          <w:color w:val="404040" w:themeColor="text1" w:themeTint="BF"/>
        </w:rPr>
        <w:t>% nákladu přepravovaného p</w:t>
      </w:r>
      <w:r>
        <w:rPr>
          <w:rFonts w:cstheme="minorHAnsi"/>
          <w:color w:val="404040" w:themeColor="text1" w:themeTint="BF"/>
        </w:rPr>
        <w:t>o zemi, čímž také</w:t>
      </w:r>
      <w:r w:rsidRPr="00252BA0">
        <w:rPr>
          <w:rFonts w:cstheme="minorHAnsi"/>
          <w:color w:val="404040" w:themeColor="text1" w:themeTint="BF"/>
        </w:rPr>
        <w:t xml:space="preserve"> poskytují základní veřejné služby. Odvětví silniční dopravy tvoří převážně malé a střední podniky (MSP), při</w:t>
      </w:r>
      <w:r w:rsidR="000145A9">
        <w:rPr>
          <w:rFonts w:cstheme="minorHAnsi"/>
          <w:color w:val="404040" w:themeColor="text1" w:themeTint="BF"/>
        </w:rPr>
        <w:t xml:space="preserve">čemž více než 600 000 podniků </w:t>
      </w:r>
      <w:r w:rsidRPr="00252BA0">
        <w:rPr>
          <w:rFonts w:cstheme="minorHAnsi"/>
          <w:color w:val="404040" w:themeColor="text1" w:themeTint="BF"/>
        </w:rPr>
        <w:t xml:space="preserve">zaměstnává </w:t>
      </w:r>
      <w:r w:rsidR="000145A9">
        <w:rPr>
          <w:rFonts w:cstheme="minorHAnsi"/>
          <w:color w:val="404040" w:themeColor="text1" w:themeTint="BF"/>
        </w:rPr>
        <w:t xml:space="preserve">v celé EU </w:t>
      </w:r>
      <w:r w:rsidRPr="00252BA0">
        <w:rPr>
          <w:rFonts w:cstheme="minorHAnsi"/>
          <w:color w:val="404040" w:themeColor="text1" w:themeTint="BF"/>
        </w:rPr>
        <w:t>téměř 3 mil</w:t>
      </w:r>
      <w:r>
        <w:rPr>
          <w:rFonts w:cstheme="minorHAnsi"/>
          <w:color w:val="404040" w:themeColor="text1" w:themeTint="BF"/>
        </w:rPr>
        <w:t>.</w:t>
      </w:r>
      <w:r w:rsidRPr="00252BA0">
        <w:rPr>
          <w:rFonts w:cstheme="minorHAnsi"/>
          <w:color w:val="404040" w:themeColor="text1" w:themeTint="BF"/>
        </w:rPr>
        <w:t xml:space="preserve"> lidí. Dalších 3,5 mil</w:t>
      </w:r>
      <w:r>
        <w:rPr>
          <w:rFonts w:cstheme="minorHAnsi"/>
          <w:color w:val="404040" w:themeColor="text1" w:themeTint="BF"/>
        </w:rPr>
        <w:t>.</w:t>
      </w:r>
      <w:r w:rsidRPr="00252BA0">
        <w:rPr>
          <w:rFonts w:cstheme="minorHAnsi"/>
          <w:color w:val="404040" w:themeColor="text1" w:themeTint="BF"/>
        </w:rPr>
        <w:t xml:space="preserve"> pracuje v oblasti výroby, opravy, prodeje, leasingu a pojištění nákladních automobilů.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E831C7">
        <w:rPr>
          <w:rFonts w:cstheme="minorHAnsi"/>
          <w:color w:val="404040" w:themeColor="text1" w:themeTint="BF"/>
        </w:rPr>
        <w:t>Zatímco emise 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E831C7">
        <w:rPr>
          <w:rFonts w:cstheme="minorHAnsi"/>
          <w:color w:val="404040" w:themeColor="text1" w:themeTint="BF"/>
        </w:rPr>
        <w:t xml:space="preserve"> z těžkých </w:t>
      </w:r>
      <w:r w:rsidR="001920D9">
        <w:rPr>
          <w:rFonts w:cstheme="minorHAnsi"/>
          <w:color w:val="404040" w:themeColor="text1" w:themeTint="BF"/>
        </w:rPr>
        <w:t xml:space="preserve">užitkových </w:t>
      </w:r>
      <w:r w:rsidRPr="00E831C7">
        <w:rPr>
          <w:rFonts w:cstheme="minorHAnsi"/>
          <w:color w:val="404040" w:themeColor="text1" w:themeTint="BF"/>
        </w:rPr>
        <w:t xml:space="preserve">vozidel (HDV), tj. </w:t>
      </w:r>
      <w:r>
        <w:rPr>
          <w:rFonts w:cstheme="minorHAnsi"/>
          <w:color w:val="404040" w:themeColor="text1" w:themeTint="BF"/>
        </w:rPr>
        <w:t>n</w:t>
      </w:r>
      <w:r w:rsidRPr="00E831C7">
        <w:rPr>
          <w:rFonts w:cstheme="minorHAnsi"/>
          <w:color w:val="404040" w:themeColor="text1" w:themeTint="BF"/>
        </w:rPr>
        <w:t>ákladních automobilů, autobusů a autokarů, představují přibližně 6</w:t>
      </w:r>
      <w:r>
        <w:rPr>
          <w:rFonts w:cstheme="minorHAnsi"/>
          <w:color w:val="404040" w:themeColor="text1" w:themeTint="BF"/>
        </w:rPr>
        <w:t xml:space="preserve"> </w:t>
      </w:r>
      <w:r w:rsidRPr="00E831C7">
        <w:rPr>
          <w:rFonts w:cstheme="minorHAnsi"/>
          <w:color w:val="404040" w:themeColor="text1" w:themeTint="BF"/>
        </w:rPr>
        <w:t>% celkových emisí EU a 25</w:t>
      </w:r>
      <w:r>
        <w:rPr>
          <w:rFonts w:cstheme="minorHAnsi"/>
          <w:color w:val="404040" w:themeColor="text1" w:themeTint="BF"/>
        </w:rPr>
        <w:t xml:space="preserve"> </w:t>
      </w:r>
      <w:r w:rsidRPr="00E831C7">
        <w:rPr>
          <w:rFonts w:cstheme="minorHAnsi"/>
          <w:color w:val="404040" w:themeColor="text1" w:themeTint="BF"/>
        </w:rPr>
        <w:t>%</w:t>
      </w:r>
      <w:r>
        <w:rPr>
          <w:rFonts w:cstheme="minorHAnsi"/>
          <w:color w:val="404040" w:themeColor="text1" w:themeTint="BF"/>
        </w:rPr>
        <w:t xml:space="preserve"> </w:t>
      </w:r>
      <w:r w:rsidRPr="00E831C7">
        <w:rPr>
          <w:rFonts w:cstheme="minorHAnsi"/>
          <w:color w:val="404040" w:themeColor="text1" w:themeTint="BF"/>
        </w:rPr>
        <w:t>emisí 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E831C7">
        <w:rPr>
          <w:rFonts w:cstheme="minorHAnsi"/>
          <w:color w:val="404040" w:themeColor="text1" w:themeTint="BF"/>
        </w:rPr>
        <w:t xml:space="preserve"> z</w:t>
      </w:r>
      <w:r>
        <w:rPr>
          <w:rFonts w:cstheme="minorHAnsi"/>
          <w:color w:val="404040" w:themeColor="text1" w:themeTint="BF"/>
        </w:rPr>
        <w:t>e</w:t>
      </w:r>
      <w:r w:rsidRPr="00E831C7">
        <w:rPr>
          <w:rFonts w:cstheme="minorHAnsi"/>
          <w:color w:val="404040" w:themeColor="text1" w:themeTint="BF"/>
        </w:rPr>
        <w:t xml:space="preserve"> silniční dopravy v EU, nejsou </w:t>
      </w:r>
      <w:r w:rsidR="000145A9">
        <w:rPr>
          <w:rFonts w:cstheme="minorHAnsi"/>
          <w:color w:val="404040" w:themeColor="text1" w:themeTint="BF"/>
        </w:rPr>
        <w:t xml:space="preserve">v EU </w:t>
      </w:r>
      <w:r w:rsidRPr="00E831C7">
        <w:rPr>
          <w:rFonts w:cstheme="minorHAnsi"/>
          <w:color w:val="404040" w:themeColor="text1" w:themeTint="BF"/>
        </w:rPr>
        <w:t>regulovány.</w:t>
      </w:r>
      <w:r>
        <w:rPr>
          <w:rFonts w:cstheme="minorHAnsi"/>
          <w:color w:val="404040" w:themeColor="text1" w:themeTint="BF"/>
        </w:rPr>
        <w:t xml:space="preserve"> </w:t>
      </w:r>
    </w:p>
    <w:p w:rsidR="005942E7" w:rsidRDefault="005942E7" w:rsidP="00B6003D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Pokud se neučiní </w:t>
      </w:r>
      <w:r w:rsidRPr="00E831C7">
        <w:rPr>
          <w:rFonts w:cstheme="minorHAnsi"/>
          <w:color w:val="404040" w:themeColor="text1" w:themeTint="BF"/>
        </w:rPr>
        <w:t>další</w:t>
      </w:r>
      <w:r>
        <w:rPr>
          <w:rFonts w:cstheme="minorHAnsi"/>
          <w:color w:val="404040" w:themeColor="text1" w:themeTint="BF"/>
        </w:rPr>
        <w:t xml:space="preserve"> kroky,</w:t>
      </w:r>
      <w:r w:rsidRPr="00E831C7">
        <w:rPr>
          <w:rFonts w:cstheme="minorHAnsi"/>
          <w:color w:val="404040" w:themeColor="text1" w:themeTint="BF"/>
        </w:rPr>
        <w:t xml:space="preserve"> předpokládá</w:t>
      </w:r>
      <w:r>
        <w:rPr>
          <w:rFonts w:cstheme="minorHAnsi"/>
          <w:color w:val="404040" w:themeColor="text1" w:themeTint="BF"/>
        </w:rPr>
        <w:t xml:space="preserve"> se</w:t>
      </w:r>
      <w:r w:rsidRPr="00E831C7">
        <w:rPr>
          <w:rFonts w:cstheme="minorHAnsi"/>
          <w:color w:val="404040" w:themeColor="text1" w:themeTint="BF"/>
        </w:rPr>
        <w:t>, že emise 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E831C7">
        <w:rPr>
          <w:rFonts w:cstheme="minorHAnsi"/>
          <w:color w:val="404040" w:themeColor="text1" w:themeTint="BF"/>
        </w:rPr>
        <w:t xml:space="preserve"> z HDV vzrost</w:t>
      </w:r>
      <w:r>
        <w:rPr>
          <w:rFonts w:cstheme="minorHAnsi"/>
          <w:color w:val="404040" w:themeColor="text1" w:themeTint="BF"/>
        </w:rPr>
        <w:t>ou v období 2010-2030 o </w:t>
      </w:r>
      <w:r w:rsidRPr="00E831C7">
        <w:rPr>
          <w:rFonts w:cstheme="minorHAnsi"/>
          <w:color w:val="404040" w:themeColor="text1" w:themeTint="BF"/>
        </w:rPr>
        <w:t>9</w:t>
      </w:r>
      <w:r>
        <w:rPr>
          <w:rFonts w:cstheme="minorHAnsi"/>
          <w:color w:val="404040" w:themeColor="text1" w:themeTint="BF"/>
        </w:rPr>
        <w:t> </w:t>
      </w:r>
      <w:r w:rsidRPr="00E831C7">
        <w:rPr>
          <w:rFonts w:cstheme="minorHAnsi"/>
          <w:color w:val="404040" w:themeColor="text1" w:themeTint="BF"/>
        </w:rPr>
        <w:t>% kvůli zvyšující se</w:t>
      </w:r>
      <w:r>
        <w:rPr>
          <w:rFonts w:cstheme="minorHAnsi"/>
          <w:color w:val="404040" w:themeColor="text1" w:themeTint="BF"/>
        </w:rPr>
        <w:t xml:space="preserve"> intenzitě</w:t>
      </w:r>
      <w:r w:rsidRPr="00E831C7">
        <w:rPr>
          <w:rFonts w:cstheme="minorHAnsi"/>
          <w:color w:val="404040" w:themeColor="text1" w:themeTint="BF"/>
        </w:rPr>
        <w:t xml:space="preserve"> doprav</w:t>
      </w:r>
      <w:r>
        <w:rPr>
          <w:rFonts w:cstheme="minorHAnsi"/>
          <w:color w:val="404040" w:themeColor="text1" w:themeTint="BF"/>
        </w:rPr>
        <w:t>y a přepravy</w:t>
      </w:r>
      <w:r w:rsidRPr="00E831C7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Dopravci</w:t>
      </w:r>
      <w:r w:rsidRPr="00E831C7">
        <w:rPr>
          <w:rFonts w:cstheme="minorHAnsi"/>
          <w:color w:val="404040" w:themeColor="text1" w:themeTint="BF"/>
        </w:rPr>
        <w:t xml:space="preserve"> a jejich klienti v současné době </w:t>
      </w:r>
      <w:r>
        <w:rPr>
          <w:rFonts w:cstheme="minorHAnsi"/>
          <w:color w:val="404040" w:themeColor="text1" w:themeTint="BF"/>
        </w:rPr>
        <w:t>nevyužívají možných úspor</w:t>
      </w:r>
      <w:r w:rsidRPr="00E831C7">
        <w:rPr>
          <w:rFonts w:cstheme="minorHAnsi"/>
          <w:color w:val="404040" w:themeColor="text1" w:themeTint="BF"/>
        </w:rPr>
        <w:t xml:space="preserve"> paliva a snížení </w:t>
      </w:r>
      <w:r>
        <w:rPr>
          <w:rFonts w:cstheme="minorHAnsi"/>
          <w:color w:val="404040" w:themeColor="text1" w:themeTint="BF"/>
        </w:rPr>
        <w:t>nákladů</w:t>
      </w:r>
      <w:r w:rsidRPr="00E831C7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  <w:color w:val="404040" w:themeColor="text1" w:themeTint="BF"/>
        </w:rPr>
      </w:pPr>
      <w:r w:rsidRPr="00E831C7">
        <w:rPr>
          <w:rFonts w:cstheme="minorHAnsi"/>
          <w:color w:val="404040" w:themeColor="text1" w:themeTint="BF"/>
        </w:rPr>
        <w:t xml:space="preserve">Výrobci HDV v EU čelí rostoucímu globálnímu konkurenčnímu tlaku, protože </w:t>
      </w:r>
      <w:r>
        <w:rPr>
          <w:rFonts w:cstheme="minorHAnsi"/>
          <w:color w:val="404040" w:themeColor="text1" w:themeTint="BF"/>
        </w:rPr>
        <w:t>USA</w:t>
      </w:r>
      <w:r w:rsidRPr="00E831C7">
        <w:rPr>
          <w:rFonts w:cstheme="minorHAnsi"/>
          <w:color w:val="404040" w:themeColor="text1" w:themeTint="BF"/>
        </w:rPr>
        <w:t>, Kanada, Japonsko a Čína již zavedly regulační opatření ke snížení emisí 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E831C7">
        <w:rPr>
          <w:rFonts w:cstheme="minorHAnsi"/>
          <w:color w:val="404040" w:themeColor="text1" w:themeTint="BF"/>
        </w:rPr>
        <w:t xml:space="preserve"> z HDV.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 w:rsidRPr="00D30357">
        <w:rPr>
          <w:rFonts w:cstheme="minorHAnsi"/>
          <w:color w:val="404040" w:themeColor="text1" w:themeTint="BF"/>
        </w:rPr>
        <w:t xml:space="preserve">Návrh standardů emisí </w:t>
      </w:r>
      <w:r w:rsidRPr="00E831C7">
        <w:rPr>
          <w:rFonts w:cstheme="minorHAnsi"/>
          <w:color w:val="404040" w:themeColor="text1" w:themeTint="BF"/>
        </w:rPr>
        <w:t>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D30357">
        <w:rPr>
          <w:rFonts w:cstheme="minorHAnsi"/>
          <w:color w:val="404040" w:themeColor="text1" w:themeTint="BF"/>
        </w:rPr>
        <w:t xml:space="preserve"> pro nové HDV stanoví doplňkové opatření n</w:t>
      </w:r>
      <w:r>
        <w:rPr>
          <w:rFonts w:cstheme="minorHAnsi"/>
          <w:color w:val="404040" w:themeColor="text1" w:themeTint="BF"/>
        </w:rPr>
        <w:t>a straně nabídky na úrovni EU s </w:t>
      </w:r>
      <w:r w:rsidRPr="00D30357">
        <w:rPr>
          <w:rFonts w:cstheme="minorHAnsi"/>
          <w:color w:val="404040" w:themeColor="text1" w:themeTint="BF"/>
        </w:rPr>
        <w:t>cílem řešit tyto překážky n</w:t>
      </w:r>
      <w:r>
        <w:rPr>
          <w:rFonts w:cstheme="minorHAnsi"/>
          <w:color w:val="404040" w:themeColor="text1" w:themeTint="BF"/>
        </w:rPr>
        <w:t>a trhu s těmito klíčovými cíli:</w:t>
      </w:r>
    </w:p>
    <w:p w:rsidR="005942E7" w:rsidRDefault="005942E7" w:rsidP="00B6003D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D30357">
        <w:rPr>
          <w:rFonts w:cstheme="minorHAnsi"/>
          <w:color w:val="404040" w:themeColor="text1" w:themeTint="BF"/>
        </w:rPr>
        <w:t xml:space="preserve">Snížit emise </w:t>
      </w:r>
      <w:r w:rsidRPr="00E831C7">
        <w:rPr>
          <w:rFonts w:cstheme="minorHAnsi"/>
          <w:color w:val="404040" w:themeColor="text1" w:themeTint="BF"/>
        </w:rPr>
        <w:t>CO</w:t>
      </w:r>
      <w:r w:rsidRPr="00F960DD">
        <w:rPr>
          <w:rFonts w:cstheme="minorHAnsi"/>
          <w:color w:val="404040" w:themeColor="text1" w:themeTint="BF"/>
          <w:vertAlign w:val="subscript"/>
        </w:rPr>
        <w:t>2</w:t>
      </w:r>
      <w:r w:rsidRPr="00D30357">
        <w:rPr>
          <w:rFonts w:cstheme="minorHAnsi"/>
          <w:color w:val="404040" w:themeColor="text1" w:themeTint="BF"/>
        </w:rPr>
        <w:t xml:space="preserve"> z HDV sektoru v souladu s požadavky politiky EU v oblasti klimatu a Pařížské dohody a zároveň snížit znečišt</w:t>
      </w:r>
      <w:r>
        <w:rPr>
          <w:rFonts w:cstheme="minorHAnsi"/>
          <w:color w:val="404040" w:themeColor="text1" w:themeTint="BF"/>
        </w:rPr>
        <w:t>ění ovzduší zejména ve městech.</w:t>
      </w:r>
    </w:p>
    <w:p w:rsidR="005942E7" w:rsidRDefault="005942E7" w:rsidP="00B6003D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D30357">
        <w:rPr>
          <w:rFonts w:cstheme="minorHAnsi"/>
          <w:color w:val="404040" w:themeColor="text1" w:themeTint="BF"/>
        </w:rPr>
        <w:t xml:space="preserve">Usnadnit snížení provozních nákladů </w:t>
      </w:r>
      <w:r>
        <w:rPr>
          <w:rFonts w:cstheme="minorHAnsi"/>
          <w:color w:val="404040" w:themeColor="text1" w:themeTint="BF"/>
        </w:rPr>
        <w:t>dopravců</w:t>
      </w:r>
      <w:r w:rsidRPr="00D30357">
        <w:rPr>
          <w:rFonts w:cstheme="minorHAnsi"/>
          <w:color w:val="404040" w:themeColor="text1" w:themeTint="BF"/>
        </w:rPr>
        <w:t>, z nichž většina jsou malé a střední podniky, a</w:t>
      </w:r>
      <w:r>
        <w:rPr>
          <w:rFonts w:cstheme="minorHAnsi"/>
          <w:color w:val="404040" w:themeColor="text1" w:themeTint="BF"/>
        </w:rPr>
        <w:t> </w:t>
      </w:r>
      <w:r w:rsidRPr="00D30357">
        <w:rPr>
          <w:rFonts w:cstheme="minorHAnsi"/>
          <w:color w:val="404040" w:themeColor="text1" w:themeTint="BF"/>
        </w:rPr>
        <w:t>v</w:t>
      </w:r>
      <w:r>
        <w:rPr>
          <w:rFonts w:cstheme="minorHAnsi"/>
          <w:color w:val="404040" w:themeColor="text1" w:themeTint="BF"/>
        </w:rPr>
        <w:t> </w:t>
      </w:r>
      <w:r w:rsidRPr="00D30357">
        <w:rPr>
          <w:rFonts w:cstheme="minorHAnsi"/>
          <w:color w:val="404040" w:themeColor="text1" w:themeTint="BF"/>
        </w:rPr>
        <w:t xml:space="preserve">širším měřítku náklady na dopravu pro spotřebitele v závislosti na </w:t>
      </w:r>
      <w:r>
        <w:rPr>
          <w:rFonts w:cstheme="minorHAnsi"/>
          <w:color w:val="404040" w:themeColor="text1" w:themeTint="BF"/>
        </w:rPr>
        <w:t>vlivu</w:t>
      </w:r>
      <w:r w:rsidRPr="00D30357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uspořeného paliva.</w:t>
      </w:r>
    </w:p>
    <w:p w:rsidR="005942E7" w:rsidRDefault="005942E7" w:rsidP="00B6003D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D30357">
        <w:rPr>
          <w:rFonts w:cstheme="minorHAnsi"/>
          <w:color w:val="404040" w:themeColor="text1" w:themeTint="BF"/>
        </w:rPr>
        <w:t>Udržet technologickou a inovační vedoucí pozici výrobců HDV v EU a dodavatelů komponentů.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8856B0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>
        <w:rPr>
          <w:rFonts w:cstheme="minorHAnsi"/>
          <w:b/>
          <w:color w:val="404040" w:themeColor="text1" w:themeTint="BF"/>
          <w:u w:val="single"/>
        </w:rPr>
        <w:t>Hodnocení dopadů</w:t>
      </w:r>
    </w:p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Opatření v rámci kategorií:</w:t>
      </w:r>
    </w:p>
    <w:p w:rsidR="005942E7" w:rsidRDefault="005942E7" w:rsidP="00B6003D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204089">
        <w:rPr>
          <w:rFonts w:cstheme="minorHAnsi"/>
          <w:b/>
          <w:color w:val="404040" w:themeColor="text1" w:themeTint="BF"/>
        </w:rPr>
        <w:t>Emisní cíle CO</w:t>
      </w:r>
      <w:r w:rsidRPr="00204089">
        <w:rPr>
          <w:rFonts w:cstheme="minorHAnsi"/>
          <w:b/>
          <w:color w:val="404040" w:themeColor="text1" w:themeTint="BF"/>
          <w:vertAlign w:val="subscript"/>
        </w:rPr>
        <w:t>2</w:t>
      </w:r>
      <w:r w:rsidRPr="00204089">
        <w:rPr>
          <w:rFonts w:cstheme="minorHAnsi"/>
          <w:b/>
          <w:color w:val="404040" w:themeColor="text1" w:themeTint="BF"/>
        </w:rPr>
        <w:t xml:space="preserve"> pro celý vozový park</w:t>
      </w:r>
      <w:r w:rsidRPr="00204089">
        <w:rPr>
          <w:rFonts w:cstheme="minorHAnsi"/>
          <w:color w:val="404040" w:themeColor="text1" w:themeTint="BF"/>
        </w:rPr>
        <w:t xml:space="preserve"> (rozsah, metrika, metrická jednotka, úroveň, načasování). Preferovanou možností je</w:t>
      </w:r>
      <w:r>
        <w:rPr>
          <w:rFonts w:cstheme="minorHAnsi"/>
          <w:color w:val="404040" w:themeColor="text1" w:themeTint="BF"/>
        </w:rPr>
        <w:t>:</w:t>
      </w:r>
    </w:p>
    <w:p w:rsidR="005942E7" w:rsidRPr="00204089" w:rsidRDefault="005942E7" w:rsidP="00B6003D">
      <w:pPr>
        <w:pStyle w:val="Odstavecseseznamem"/>
        <w:numPr>
          <w:ilvl w:val="1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204089">
        <w:rPr>
          <w:rFonts w:cstheme="minorHAnsi"/>
          <w:b/>
          <w:color w:val="404040" w:themeColor="text1" w:themeTint="BF"/>
        </w:rPr>
        <w:t>Pokrytí čtyř skupiny vozidel s nejvyššími úrovněmi emisí CO</w:t>
      </w:r>
      <w:r w:rsidRPr="00204089">
        <w:rPr>
          <w:rFonts w:cstheme="minorHAnsi"/>
          <w:b/>
          <w:color w:val="404040" w:themeColor="text1" w:themeTint="BF"/>
          <w:vertAlign w:val="subscript"/>
        </w:rPr>
        <w:t>2</w:t>
      </w:r>
      <w:r w:rsidRPr="00204089">
        <w:rPr>
          <w:rFonts w:cstheme="minorHAnsi"/>
          <w:color w:val="404040" w:themeColor="text1" w:themeTint="BF"/>
        </w:rPr>
        <w:t>. To zajistí maximální efektivitu z hlediska přínosů pro životní prostředí a přidané hodnoty.</w:t>
      </w:r>
    </w:p>
    <w:p w:rsidR="005942E7" w:rsidRPr="00204089" w:rsidRDefault="005942E7" w:rsidP="00B6003D">
      <w:pPr>
        <w:pStyle w:val="Odstavecseseznamem"/>
        <w:numPr>
          <w:ilvl w:val="1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204089">
        <w:rPr>
          <w:rFonts w:cstheme="minorHAnsi"/>
          <w:b/>
          <w:color w:val="404040" w:themeColor="text1" w:themeTint="BF"/>
        </w:rPr>
        <w:t>Použití přístupu TTW s cíli stanovenými v g CO</w:t>
      </w:r>
      <w:r w:rsidRPr="00204089">
        <w:rPr>
          <w:rFonts w:cstheme="minorHAnsi"/>
          <w:b/>
          <w:color w:val="404040" w:themeColor="text1" w:themeTint="BF"/>
          <w:vertAlign w:val="subscript"/>
        </w:rPr>
        <w:t>2</w:t>
      </w:r>
      <w:r w:rsidRPr="00204089">
        <w:rPr>
          <w:rFonts w:cstheme="minorHAnsi"/>
          <w:b/>
          <w:color w:val="404040" w:themeColor="text1" w:themeTint="BF"/>
        </w:rPr>
        <w:t>/tkm</w:t>
      </w:r>
      <w:r w:rsidRPr="00204089">
        <w:rPr>
          <w:rFonts w:cstheme="minorHAnsi"/>
          <w:color w:val="404040" w:themeColor="text1" w:themeTint="BF"/>
        </w:rPr>
        <w:t>. Tím je zajištěna soudržnost se stávající regulační praxí, čímž se zabrání dvojí regulaci a zmatkům odpovědnosti mezi výrobci a</w:t>
      </w:r>
      <w:r w:rsidR="00593885">
        <w:rPr>
          <w:rFonts w:cstheme="minorHAnsi"/>
          <w:color w:val="404040" w:themeColor="text1" w:themeTint="BF"/>
        </w:rPr>
        <w:t> </w:t>
      </w:r>
      <w:r w:rsidRPr="00204089">
        <w:rPr>
          <w:rFonts w:cstheme="minorHAnsi"/>
          <w:color w:val="404040" w:themeColor="text1" w:themeTint="BF"/>
        </w:rPr>
        <w:t>dodavateli paliv. Metrická jednotka rovněž plně zohledňuje užitečnost pokrytých nákladních automobilů.</w:t>
      </w:r>
    </w:p>
    <w:p w:rsidR="005942E7" w:rsidRPr="00204089" w:rsidRDefault="005942E7" w:rsidP="00B6003D">
      <w:pPr>
        <w:pStyle w:val="Odstavecseseznamem"/>
        <w:numPr>
          <w:ilvl w:val="1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204089">
        <w:rPr>
          <w:rFonts w:cstheme="minorHAnsi"/>
          <w:b/>
          <w:color w:val="404040" w:themeColor="text1" w:themeTint="BF"/>
        </w:rPr>
        <w:t>Stanovení závazných cílů týkajících se snížení emisí CO</w:t>
      </w:r>
      <w:r w:rsidRPr="00204089">
        <w:rPr>
          <w:rFonts w:cstheme="minorHAnsi"/>
          <w:b/>
          <w:color w:val="404040" w:themeColor="text1" w:themeTint="BF"/>
          <w:vertAlign w:val="subscript"/>
        </w:rPr>
        <w:t>2</w:t>
      </w:r>
      <w:r w:rsidRPr="00204089">
        <w:rPr>
          <w:rFonts w:cstheme="minorHAnsi"/>
          <w:b/>
          <w:color w:val="404040" w:themeColor="text1" w:themeTint="BF"/>
        </w:rPr>
        <w:t xml:space="preserve"> v roce 2025 ve srovnání s úrovněmi v roce 2019</w:t>
      </w:r>
      <w:r w:rsidRPr="00204089">
        <w:rPr>
          <w:rFonts w:cstheme="minorHAnsi"/>
          <w:color w:val="404040" w:themeColor="text1" w:themeTint="BF"/>
        </w:rPr>
        <w:t xml:space="preserve">, založené na zavedení snadno dostupných nákladově efektivních technologií. Pro rok 2030 nejsou známé rizika využívání pokročilejších technologií. Z tohoto důvodu je preferovanou volbou stanovit </w:t>
      </w:r>
      <w:r w:rsidRPr="00204089">
        <w:rPr>
          <w:rFonts w:cstheme="minorHAnsi"/>
          <w:b/>
          <w:color w:val="404040" w:themeColor="text1" w:themeTint="BF"/>
        </w:rPr>
        <w:t>pouze aspirační cíl pro rok 2030</w:t>
      </w:r>
      <w:r w:rsidRPr="00204089">
        <w:rPr>
          <w:rFonts w:cstheme="minorHAnsi"/>
          <w:color w:val="404040" w:themeColor="text1" w:themeTint="BF"/>
        </w:rPr>
        <w:t xml:space="preserve">. Proto by měla být </w:t>
      </w:r>
      <w:r w:rsidRPr="00204089">
        <w:rPr>
          <w:rFonts w:cstheme="minorHAnsi"/>
          <w:b/>
          <w:color w:val="404040" w:themeColor="text1" w:themeTint="BF"/>
        </w:rPr>
        <w:t>v roce 2022 provedena včasná revize</w:t>
      </w:r>
      <w:r w:rsidRPr="00204089">
        <w:rPr>
          <w:rFonts w:cstheme="minorHAnsi"/>
          <w:color w:val="404040" w:themeColor="text1" w:themeTint="BF"/>
        </w:rPr>
        <w:t xml:space="preserve"> s cílem:</w:t>
      </w:r>
    </w:p>
    <w:p w:rsidR="005942E7" w:rsidRPr="00204089" w:rsidRDefault="005942E7" w:rsidP="00B6003D">
      <w:pPr>
        <w:pStyle w:val="Odstavecseseznamem"/>
        <w:numPr>
          <w:ilvl w:val="2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204089">
        <w:rPr>
          <w:rFonts w:cstheme="minorHAnsi"/>
          <w:color w:val="404040" w:themeColor="text1" w:themeTint="BF"/>
        </w:rPr>
        <w:t xml:space="preserve">stanovit </w:t>
      </w:r>
      <w:r w:rsidRPr="00204089">
        <w:rPr>
          <w:rFonts w:cstheme="minorHAnsi"/>
          <w:b/>
          <w:color w:val="404040" w:themeColor="text1" w:themeTint="BF"/>
        </w:rPr>
        <w:t>povinný cíl také pro rok 2030</w:t>
      </w:r>
      <w:r w:rsidRPr="00204089">
        <w:rPr>
          <w:rFonts w:cstheme="minorHAnsi"/>
          <w:color w:val="404040" w:themeColor="text1" w:themeTint="BF"/>
        </w:rPr>
        <w:t>;</w:t>
      </w:r>
    </w:p>
    <w:p w:rsidR="005942E7" w:rsidRPr="00204089" w:rsidRDefault="005942E7" w:rsidP="00B6003D">
      <w:pPr>
        <w:pStyle w:val="Odstavecseseznamem"/>
        <w:numPr>
          <w:ilvl w:val="2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204089">
        <w:rPr>
          <w:rFonts w:cstheme="minorHAnsi"/>
          <w:color w:val="404040" w:themeColor="text1" w:themeTint="BF"/>
        </w:rPr>
        <w:t>posoudit způsoby provádění;</w:t>
      </w:r>
    </w:p>
    <w:p w:rsidR="005942E7" w:rsidRPr="00204089" w:rsidRDefault="005942E7" w:rsidP="00B6003D">
      <w:pPr>
        <w:pStyle w:val="Odstavecseseznamem"/>
        <w:numPr>
          <w:ilvl w:val="2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204089">
        <w:rPr>
          <w:rFonts w:cstheme="minorHAnsi"/>
          <w:color w:val="404040" w:themeColor="text1" w:themeTint="BF"/>
        </w:rPr>
        <w:lastRenderedPageBreak/>
        <w:t>přezkoumat rozsah tak, aby byly pokryty i menší nákladní automobily, stejně jako autobusy, autokary a přívěsy.</w:t>
      </w:r>
    </w:p>
    <w:p w:rsidR="005942E7" w:rsidRDefault="005942E7" w:rsidP="00B6003D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204089">
        <w:rPr>
          <w:rFonts w:cstheme="minorHAnsi"/>
          <w:b/>
          <w:color w:val="404040" w:themeColor="text1" w:themeTint="BF"/>
        </w:rPr>
        <w:t>Rozložení cílů na skupiny vozidel a výrobce</w:t>
      </w:r>
      <w:r>
        <w:rPr>
          <w:rFonts w:cstheme="minorHAnsi"/>
          <w:color w:val="404040" w:themeColor="text1" w:themeTint="BF"/>
        </w:rPr>
        <w:t xml:space="preserve"> – upřednostňovanou variantou:</w:t>
      </w:r>
    </w:p>
    <w:p w:rsidR="005942E7" w:rsidRDefault="005942E7" w:rsidP="00B6003D">
      <w:pPr>
        <w:pStyle w:val="Odstavecseseznamem"/>
        <w:numPr>
          <w:ilvl w:val="1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P</w:t>
      </w:r>
      <w:r w:rsidRPr="00204089">
        <w:rPr>
          <w:rFonts w:cstheme="minorHAnsi"/>
          <w:color w:val="404040" w:themeColor="text1" w:themeTint="BF"/>
        </w:rPr>
        <w:t>ro každého výrobce</w:t>
      </w:r>
      <w:r>
        <w:rPr>
          <w:rFonts w:cstheme="minorHAnsi"/>
          <w:color w:val="404040" w:themeColor="text1" w:themeTint="BF"/>
        </w:rPr>
        <w:t xml:space="preserve"> </w:t>
      </w:r>
      <w:r w:rsidRPr="00204089">
        <w:rPr>
          <w:rFonts w:cstheme="minorHAnsi"/>
          <w:color w:val="404040" w:themeColor="text1" w:themeTint="BF"/>
        </w:rPr>
        <w:t>jednotný cíl dle váženého průměru. Tato možnost se nejlépe hodí z</w:t>
      </w:r>
      <w:r>
        <w:rPr>
          <w:rFonts w:cstheme="minorHAnsi"/>
          <w:color w:val="404040" w:themeColor="text1" w:themeTint="BF"/>
        </w:rPr>
        <w:t> </w:t>
      </w:r>
      <w:r w:rsidRPr="00204089">
        <w:rPr>
          <w:rFonts w:cstheme="minorHAnsi"/>
          <w:color w:val="404040" w:themeColor="text1" w:themeTint="BF"/>
        </w:rPr>
        <w:t>hlediska účinnosti a proporcionality. Zajišťuje flexibilitu tím, že umožňuje vyvážit špatnou výkonnost vozidel v určitých podskupinách lepšími výsledky u ostatních podskupin vozidel.</w:t>
      </w:r>
    </w:p>
    <w:p w:rsidR="005942E7" w:rsidRDefault="005942E7" w:rsidP="00B6003D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870262">
        <w:rPr>
          <w:rFonts w:cstheme="minorHAnsi"/>
          <w:b/>
          <w:color w:val="404040" w:themeColor="text1" w:themeTint="BF"/>
        </w:rPr>
        <w:t>Stimuly pro vozidla s nulovými a nízkými emisemi (ZEV/LEV)</w:t>
      </w:r>
      <w:r>
        <w:rPr>
          <w:rFonts w:cstheme="minorHAnsi"/>
          <w:color w:val="404040" w:themeColor="text1" w:themeTint="BF"/>
        </w:rPr>
        <w:t xml:space="preserve"> – upřednostňovanou variantou:</w:t>
      </w:r>
    </w:p>
    <w:p w:rsidR="005942E7" w:rsidRDefault="005942E7" w:rsidP="00B6003D">
      <w:pPr>
        <w:pStyle w:val="Odstavecseseznamem"/>
        <w:numPr>
          <w:ilvl w:val="1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870262">
        <w:rPr>
          <w:rFonts w:cstheme="minorHAnsi"/>
          <w:b/>
          <w:color w:val="404040" w:themeColor="text1" w:themeTint="BF"/>
        </w:rPr>
        <w:t>Stimulace ZEV/LEV superkredity</w:t>
      </w:r>
      <w:r w:rsidRPr="00870262">
        <w:rPr>
          <w:rFonts w:cstheme="minorHAnsi"/>
          <w:color w:val="404040" w:themeColor="text1" w:themeTint="BF"/>
        </w:rPr>
        <w:t xml:space="preserve"> se zárukami, které zabrání oslabení cílů týkajících se emisí CO</w:t>
      </w:r>
      <w:r w:rsidRPr="00870262">
        <w:rPr>
          <w:rFonts w:cstheme="minorHAnsi"/>
          <w:color w:val="404040" w:themeColor="text1" w:themeTint="BF"/>
          <w:vertAlign w:val="subscript"/>
        </w:rPr>
        <w:t>2</w:t>
      </w:r>
      <w:r w:rsidRPr="00870262">
        <w:rPr>
          <w:rFonts w:cstheme="minorHAnsi"/>
          <w:color w:val="404040" w:themeColor="text1" w:themeTint="BF"/>
        </w:rPr>
        <w:t>. Zdá se, že tato metoda je nejúčinnější možností vzhledem ke specifickému stavu vývoje a zavádění bezemisních a nízkoemisních technologií v odvětví HDV.</w:t>
      </w:r>
    </w:p>
    <w:p w:rsidR="005942E7" w:rsidRDefault="005942E7" w:rsidP="00B6003D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870262">
        <w:rPr>
          <w:rFonts w:cstheme="minorHAnsi"/>
          <w:b/>
          <w:color w:val="404040" w:themeColor="text1" w:themeTint="BF"/>
        </w:rPr>
        <w:t>Prvky pro nákladově efektivní implementaci</w:t>
      </w:r>
      <w:r>
        <w:rPr>
          <w:rFonts w:cstheme="minorHAnsi"/>
          <w:color w:val="404040" w:themeColor="text1" w:themeTint="BF"/>
        </w:rPr>
        <w:t xml:space="preserve">  – upřednostňovanou variantou:</w:t>
      </w:r>
    </w:p>
    <w:p w:rsidR="005942E7" w:rsidRDefault="005942E7" w:rsidP="00B6003D">
      <w:pPr>
        <w:pStyle w:val="Odstavecseseznamem"/>
        <w:numPr>
          <w:ilvl w:val="1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870262">
        <w:rPr>
          <w:rFonts w:cstheme="minorHAnsi"/>
          <w:color w:val="404040" w:themeColor="text1" w:themeTint="BF"/>
        </w:rPr>
        <w:t>Vzhledem k omezenému nákladově efektivnímu potenciálu snižování emisí CO</w:t>
      </w:r>
      <w:r w:rsidRPr="00870262">
        <w:rPr>
          <w:rFonts w:cstheme="minorHAnsi"/>
          <w:color w:val="404040" w:themeColor="text1" w:themeTint="BF"/>
          <w:vertAlign w:val="subscript"/>
        </w:rPr>
        <w:t>2</w:t>
      </w:r>
      <w:r w:rsidRPr="00870262">
        <w:rPr>
          <w:rFonts w:cstheme="minorHAnsi"/>
          <w:color w:val="404040" w:themeColor="text1" w:themeTint="BF"/>
        </w:rPr>
        <w:t xml:space="preserve"> u speciáln</w:t>
      </w:r>
      <w:r w:rsidR="002D797B">
        <w:rPr>
          <w:rFonts w:cstheme="minorHAnsi"/>
          <w:color w:val="404040" w:themeColor="text1" w:themeTint="BF"/>
        </w:rPr>
        <w:t>ích užitkových/profesních</w:t>
      </w:r>
      <w:r w:rsidRPr="00870262">
        <w:rPr>
          <w:rFonts w:cstheme="minorHAnsi"/>
          <w:color w:val="404040" w:themeColor="text1" w:themeTint="BF"/>
        </w:rPr>
        <w:t xml:space="preserve"> vozidel (vocational vehicle)</w:t>
      </w:r>
      <w:r w:rsidR="00DD14C8">
        <w:rPr>
          <w:rStyle w:val="Znakapoznpodarou"/>
          <w:rFonts w:cstheme="minorHAnsi"/>
          <w:color w:val="404040" w:themeColor="text1" w:themeTint="BF"/>
        </w:rPr>
        <w:footnoteReference w:id="1"/>
      </w:r>
      <w:r w:rsidRPr="00870262">
        <w:rPr>
          <w:rFonts w:cstheme="minorHAnsi"/>
          <w:color w:val="404040" w:themeColor="text1" w:themeTint="BF"/>
        </w:rPr>
        <w:t xml:space="preserve"> v důsledku nižšího počtu ujetých kilometrů a</w:t>
      </w:r>
      <w:r w:rsidR="002A34F5">
        <w:rPr>
          <w:rFonts w:cstheme="minorHAnsi"/>
          <w:color w:val="404040" w:themeColor="text1" w:themeTint="BF"/>
        </w:rPr>
        <w:t> </w:t>
      </w:r>
      <w:r w:rsidRPr="00870262">
        <w:rPr>
          <w:rFonts w:cstheme="minorHAnsi"/>
          <w:color w:val="404040" w:themeColor="text1" w:themeTint="BF"/>
        </w:rPr>
        <w:t xml:space="preserve">nižšího užitečného zatížení v porovnání s ostatními HDV je upřednostňovanou variantou </w:t>
      </w:r>
      <w:r w:rsidRPr="00870262">
        <w:rPr>
          <w:rFonts w:cstheme="minorHAnsi"/>
          <w:b/>
          <w:color w:val="404040" w:themeColor="text1" w:themeTint="BF"/>
        </w:rPr>
        <w:t>osvobození těchto vozidel od cílů snižování emisí CO</w:t>
      </w:r>
      <w:r w:rsidRPr="00870262">
        <w:rPr>
          <w:rFonts w:cstheme="minorHAnsi"/>
          <w:b/>
          <w:color w:val="404040" w:themeColor="text1" w:themeTint="BF"/>
          <w:vertAlign w:val="subscript"/>
        </w:rPr>
        <w:t>2</w:t>
      </w:r>
      <w:r w:rsidRPr="00870262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1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870262">
        <w:rPr>
          <w:rFonts w:cstheme="minorHAnsi"/>
          <w:color w:val="404040" w:themeColor="text1" w:themeTint="BF"/>
        </w:rPr>
        <w:t xml:space="preserve">Pokud jde o flexibilitu, </w:t>
      </w:r>
      <w:r>
        <w:rPr>
          <w:rFonts w:cstheme="minorHAnsi"/>
          <w:color w:val="404040" w:themeColor="text1" w:themeTint="BF"/>
        </w:rPr>
        <w:t>upřednostňovanou variantou</w:t>
      </w:r>
      <w:r w:rsidRPr="00870262">
        <w:rPr>
          <w:rFonts w:cstheme="minorHAnsi"/>
          <w:color w:val="404040" w:themeColor="text1" w:themeTint="BF"/>
        </w:rPr>
        <w:t xml:space="preserve"> je umožnit </w:t>
      </w:r>
      <w:r w:rsidRPr="00870262">
        <w:rPr>
          <w:rFonts w:cstheme="minorHAnsi"/>
          <w:b/>
          <w:color w:val="404040" w:themeColor="text1" w:themeTint="BF"/>
        </w:rPr>
        <w:t>převádění kreditů CO</w:t>
      </w:r>
      <w:r w:rsidRPr="00870262">
        <w:rPr>
          <w:rFonts w:cstheme="minorHAnsi"/>
          <w:b/>
          <w:color w:val="404040" w:themeColor="text1" w:themeTint="BF"/>
          <w:vertAlign w:val="subscript"/>
        </w:rPr>
        <w:t>2</w:t>
      </w:r>
      <w:r w:rsidRPr="00870262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mezi roky</w:t>
      </w:r>
      <w:r w:rsidRPr="00870262">
        <w:rPr>
          <w:rFonts w:cstheme="minorHAnsi"/>
          <w:color w:val="404040" w:themeColor="text1" w:themeTint="BF"/>
        </w:rPr>
        <w:t>, včetně garancí, které zaručí ekologickou účinnost právních předpisů. To je řešení, které je nejúčinnější a nejméně narušující trh.</w:t>
      </w:r>
    </w:p>
    <w:p w:rsidR="005942E7" w:rsidRDefault="005942E7" w:rsidP="00B6003D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906DB2">
        <w:rPr>
          <w:rFonts w:cstheme="minorHAnsi"/>
          <w:b/>
          <w:color w:val="404040" w:themeColor="text1" w:themeTint="BF"/>
        </w:rPr>
        <w:t>Otázky týkající se správy</w:t>
      </w:r>
      <w:r>
        <w:rPr>
          <w:rFonts w:cstheme="minorHAnsi"/>
          <w:color w:val="404040" w:themeColor="text1" w:themeTint="BF"/>
        </w:rPr>
        <w:t xml:space="preserve"> – upřednostňovanou variantou:</w:t>
      </w:r>
    </w:p>
    <w:p w:rsidR="005942E7" w:rsidRDefault="005942E7" w:rsidP="00B6003D">
      <w:pPr>
        <w:pStyle w:val="Odstavecseseznamem"/>
        <w:numPr>
          <w:ilvl w:val="1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906DB2">
        <w:rPr>
          <w:rFonts w:cstheme="minorHAnsi"/>
          <w:color w:val="404040" w:themeColor="text1" w:themeTint="BF"/>
        </w:rPr>
        <w:t xml:space="preserve">pověřit shromažďováním, zveřejňováním a sledováním údajů o </w:t>
      </w:r>
      <w:r w:rsidRPr="00906DB2">
        <w:rPr>
          <w:rFonts w:cstheme="minorHAnsi"/>
          <w:b/>
          <w:color w:val="404040" w:themeColor="text1" w:themeTint="BF"/>
        </w:rPr>
        <w:t>spotřebách paliva v reálném světě</w:t>
      </w:r>
      <w:r w:rsidRPr="00906DB2">
        <w:rPr>
          <w:rFonts w:cstheme="minorHAnsi"/>
          <w:color w:val="404040" w:themeColor="text1" w:themeTint="BF"/>
        </w:rPr>
        <w:t xml:space="preserve"> uváděných výrobci na základě povinných standardizovaných měřidel spotřeby paliva.</w:t>
      </w:r>
    </w:p>
    <w:p w:rsidR="005942E7" w:rsidRDefault="005942E7" w:rsidP="00B6003D">
      <w:pPr>
        <w:pStyle w:val="Odstavecseseznamem"/>
        <w:numPr>
          <w:ilvl w:val="1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906DB2">
        <w:rPr>
          <w:rFonts w:cstheme="minorHAnsi"/>
          <w:b/>
          <w:color w:val="404040" w:themeColor="text1" w:themeTint="BF"/>
        </w:rPr>
        <w:t>zavést testy shodnosti v provozu</w:t>
      </w:r>
      <w:r w:rsidRPr="00906DB2">
        <w:rPr>
          <w:rFonts w:cstheme="minorHAnsi"/>
          <w:color w:val="404040" w:themeColor="text1" w:themeTint="BF"/>
        </w:rPr>
        <w:t xml:space="preserve"> a pověřit oznamováním odchylek a zavedením opravného mechanismu.</w:t>
      </w:r>
    </w:p>
    <w:p w:rsidR="005942E7" w:rsidRPr="00906DB2" w:rsidRDefault="005942E7" w:rsidP="00B6003D">
      <w:pPr>
        <w:pStyle w:val="Odstavecseseznamem"/>
        <w:numPr>
          <w:ilvl w:val="1"/>
          <w:numId w:val="28"/>
        </w:numPr>
        <w:spacing w:after="0"/>
        <w:jc w:val="both"/>
        <w:rPr>
          <w:rFonts w:cstheme="minorHAnsi"/>
          <w:color w:val="404040" w:themeColor="text1" w:themeTint="BF"/>
        </w:rPr>
      </w:pPr>
      <w:r w:rsidRPr="00906DB2">
        <w:rPr>
          <w:rFonts w:cstheme="minorHAnsi"/>
          <w:b/>
          <w:color w:val="404040" w:themeColor="text1" w:themeTint="BF"/>
        </w:rPr>
        <w:t>uplatňovat finanční sankce v případě nedodržení cílů</w:t>
      </w:r>
      <w:r w:rsidRPr="00906DB2">
        <w:rPr>
          <w:rFonts w:cstheme="minorHAnsi"/>
          <w:color w:val="404040" w:themeColor="text1" w:themeTint="BF"/>
        </w:rPr>
        <w:t xml:space="preserve"> týkajících se emisí CO</w:t>
      </w:r>
      <w:r w:rsidRPr="00906DB2">
        <w:rPr>
          <w:rFonts w:cstheme="minorHAnsi"/>
          <w:color w:val="404040" w:themeColor="text1" w:themeTint="BF"/>
          <w:vertAlign w:val="subscript"/>
        </w:rPr>
        <w:t>2</w:t>
      </w:r>
      <w:r w:rsidRPr="00906DB2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spacing w:after="0"/>
        <w:jc w:val="both"/>
        <w:rPr>
          <w:rFonts w:cstheme="minorHAnsi"/>
          <w:color w:val="404040" w:themeColor="text1" w:themeTint="BF"/>
        </w:rPr>
      </w:pPr>
    </w:p>
    <w:p w:rsidR="00B6003D" w:rsidRPr="00B6003D" w:rsidRDefault="00B6003D" w:rsidP="00B6003D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B6003D">
        <w:rPr>
          <w:rFonts w:cstheme="minorHAnsi"/>
          <w:b/>
          <w:color w:val="404040" w:themeColor="text1" w:themeTint="BF"/>
          <w:u w:val="single"/>
        </w:rPr>
        <w:t>Dopady</w:t>
      </w:r>
    </w:p>
    <w:p w:rsidR="00B6003D" w:rsidRDefault="00B6003D" w:rsidP="00B6003D">
      <w:pPr>
        <w:pStyle w:val="Odstavecseseznamem"/>
        <w:numPr>
          <w:ilvl w:val="0"/>
          <w:numId w:val="45"/>
        </w:numPr>
        <w:spacing w:after="0"/>
        <w:jc w:val="both"/>
        <w:rPr>
          <w:rFonts w:cstheme="minorHAnsi"/>
          <w:color w:val="404040" w:themeColor="text1" w:themeTint="BF"/>
        </w:rPr>
      </w:pPr>
      <w:r w:rsidRPr="0089091A">
        <w:rPr>
          <w:rFonts w:cstheme="minorHAnsi"/>
          <w:b/>
          <w:color w:val="404040" w:themeColor="text1" w:themeTint="BF"/>
        </w:rPr>
        <w:t>snížení emisí</w:t>
      </w:r>
      <w:r w:rsidRPr="00B6003D">
        <w:rPr>
          <w:rFonts w:cstheme="minorHAnsi"/>
          <w:color w:val="404040" w:themeColor="text1" w:themeTint="BF"/>
        </w:rPr>
        <w:t xml:space="preserve"> CO2 u HDV v roce 2030 </w:t>
      </w:r>
      <w:r>
        <w:rPr>
          <w:rFonts w:cstheme="minorHAnsi"/>
          <w:color w:val="404040" w:themeColor="text1" w:themeTint="BF"/>
        </w:rPr>
        <w:t xml:space="preserve">se </w:t>
      </w:r>
      <w:r w:rsidRPr="00B6003D">
        <w:rPr>
          <w:rFonts w:cstheme="minorHAnsi"/>
          <w:color w:val="404040" w:themeColor="text1" w:themeTint="BF"/>
        </w:rPr>
        <w:t>pohybuje od 3</w:t>
      </w:r>
      <w:r w:rsidR="0089091A">
        <w:rPr>
          <w:rFonts w:cstheme="minorHAnsi"/>
          <w:color w:val="404040" w:themeColor="text1" w:themeTint="BF"/>
        </w:rPr>
        <w:t xml:space="preserve"> </w:t>
      </w:r>
      <w:r w:rsidRPr="00B6003D">
        <w:rPr>
          <w:rFonts w:cstheme="minorHAnsi"/>
          <w:color w:val="404040" w:themeColor="text1" w:themeTint="BF"/>
        </w:rPr>
        <w:t>do 8</w:t>
      </w:r>
      <w:r w:rsidR="0089091A">
        <w:rPr>
          <w:rFonts w:cstheme="minorHAnsi"/>
          <w:color w:val="404040" w:themeColor="text1" w:themeTint="BF"/>
        </w:rPr>
        <w:t xml:space="preserve"> </w:t>
      </w:r>
      <w:r w:rsidRPr="00B6003D">
        <w:rPr>
          <w:rFonts w:cstheme="minorHAnsi"/>
          <w:color w:val="404040" w:themeColor="text1" w:themeTint="BF"/>
        </w:rPr>
        <w:t>%. Do</w:t>
      </w:r>
      <w:r>
        <w:rPr>
          <w:rFonts w:cstheme="minorHAnsi"/>
          <w:color w:val="404040" w:themeColor="text1" w:themeTint="BF"/>
        </w:rPr>
        <w:t xml:space="preserve"> roku 2030 se emise NOx sníží od </w:t>
      </w:r>
      <w:r w:rsidRPr="00B6003D">
        <w:rPr>
          <w:rFonts w:cstheme="minorHAnsi"/>
          <w:color w:val="404040" w:themeColor="text1" w:themeTint="BF"/>
        </w:rPr>
        <w:t>1,3</w:t>
      </w:r>
      <w:r>
        <w:rPr>
          <w:rFonts w:cstheme="minorHAnsi"/>
          <w:color w:val="404040" w:themeColor="text1" w:themeTint="BF"/>
        </w:rPr>
        <w:t xml:space="preserve"> do 4,7 % a emise PM2,5 až o 0,6 %</w:t>
      </w:r>
    </w:p>
    <w:p w:rsidR="00B6003D" w:rsidRDefault="00B6003D" w:rsidP="00B6003D">
      <w:pPr>
        <w:pStyle w:val="Odstavecseseznamem"/>
        <w:numPr>
          <w:ilvl w:val="0"/>
          <w:numId w:val="45"/>
        </w:numPr>
        <w:spacing w:after="0"/>
        <w:jc w:val="both"/>
        <w:rPr>
          <w:rFonts w:cstheme="minorHAnsi"/>
          <w:color w:val="404040" w:themeColor="text1" w:themeTint="BF"/>
        </w:rPr>
      </w:pPr>
      <w:r w:rsidRPr="0089091A">
        <w:rPr>
          <w:rFonts w:cstheme="minorHAnsi"/>
          <w:b/>
          <w:color w:val="404040" w:themeColor="text1" w:themeTint="BF"/>
        </w:rPr>
        <w:t>Čisté ekonomické přínosy</w:t>
      </w:r>
      <w:r w:rsidRPr="00B6003D">
        <w:rPr>
          <w:rFonts w:cstheme="minorHAnsi"/>
          <w:color w:val="404040" w:themeColor="text1" w:themeTint="BF"/>
        </w:rPr>
        <w:t xml:space="preserve"> ze společenské perspektivy od 9</w:t>
      </w:r>
      <w:r>
        <w:rPr>
          <w:rFonts w:cstheme="minorHAnsi"/>
          <w:color w:val="404040" w:themeColor="text1" w:themeTint="BF"/>
        </w:rPr>
        <w:t xml:space="preserve"> </w:t>
      </w:r>
      <w:r w:rsidRPr="00B6003D">
        <w:rPr>
          <w:rFonts w:cstheme="minorHAnsi"/>
          <w:color w:val="404040" w:themeColor="text1" w:themeTint="BF"/>
        </w:rPr>
        <w:t xml:space="preserve">377 do 52 369 EUR za nákladní automobil registrovaný v roce 2025 a </w:t>
      </w:r>
      <w:r w:rsidR="0089091A">
        <w:rPr>
          <w:rFonts w:cstheme="minorHAnsi"/>
          <w:color w:val="404040" w:themeColor="text1" w:themeTint="BF"/>
        </w:rPr>
        <w:t xml:space="preserve">od </w:t>
      </w:r>
      <w:r w:rsidRPr="00B6003D">
        <w:rPr>
          <w:rFonts w:cstheme="minorHAnsi"/>
          <w:color w:val="404040" w:themeColor="text1" w:themeTint="BF"/>
        </w:rPr>
        <w:t xml:space="preserve">41 567 </w:t>
      </w:r>
      <w:r w:rsidR="0089091A">
        <w:rPr>
          <w:rFonts w:cstheme="minorHAnsi"/>
          <w:color w:val="404040" w:themeColor="text1" w:themeTint="BF"/>
        </w:rPr>
        <w:t xml:space="preserve">do </w:t>
      </w:r>
      <w:r w:rsidRPr="00B6003D">
        <w:rPr>
          <w:rFonts w:cstheme="minorHAnsi"/>
          <w:color w:val="404040" w:themeColor="text1" w:themeTint="BF"/>
        </w:rPr>
        <w:t>87 278 EUR na nákladní automobil registrovaný v roce 2030.</w:t>
      </w:r>
    </w:p>
    <w:p w:rsidR="00B6003D" w:rsidRPr="0089091A" w:rsidRDefault="0089091A" w:rsidP="00B6003D">
      <w:pPr>
        <w:pStyle w:val="Odstavecseseznamem"/>
        <w:numPr>
          <w:ilvl w:val="0"/>
          <w:numId w:val="45"/>
        </w:numPr>
        <w:spacing w:after="0"/>
        <w:jc w:val="both"/>
        <w:rPr>
          <w:rFonts w:cstheme="minorHAnsi"/>
          <w:b/>
          <w:color w:val="404040" w:themeColor="text1" w:themeTint="BF"/>
        </w:rPr>
      </w:pPr>
      <w:r w:rsidRPr="0089091A">
        <w:rPr>
          <w:rFonts w:cstheme="minorHAnsi"/>
          <w:b/>
          <w:color w:val="404040" w:themeColor="text1" w:themeTint="BF"/>
        </w:rPr>
        <w:t>Výrobní náklady se pro p</w:t>
      </w:r>
      <w:r w:rsidR="00B6003D" w:rsidRPr="0089091A">
        <w:rPr>
          <w:rFonts w:cstheme="minorHAnsi"/>
          <w:b/>
          <w:color w:val="404040" w:themeColor="text1" w:themeTint="BF"/>
        </w:rPr>
        <w:t xml:space="preserve">růměrný nový nákladní vůz registrovaný v roce 2025 </w:t>
      </w:r>
      <w:r w:rsidRPr="0089091A">
        <w:rPr>
          <w:rFonts w:cstheme="minorHAnsi"/>
          <w:b/>
          <w:color w:val="404040" w:themeColor="text1" w:themeTint="BF"/>
        </w:rPr>
        <w:t xml:space="preserve">zvýší o </w:t>
      </w:r>
      <w:r w:rsidR="005817EE">
        <w:rPr>
          <w:rFonts w:cstheme="minorHAnsi"/>
          <w:b/>
          <w:color w:val="404040" w:themeColor="text1" w:themeTint="BF"/>
        </w:rPr>
        <w:t>rozmezí</w:t>
      </w:r>
      <w:r w:rsidRPr="0089091A">
        <w:rPr>
          <w:rFonts w:cstheme="minorHAnsi"/>
          <w:b/>
          <w:color w:val="404040" w:themeColor="text1" w:themeTint="BF"/>
        </w:rPr>
        <w:t xml:space="preserve"> </w:t>
      </w:r>
      <w:r w:rsidR="00B6003D" w:rsidRPr="0089091A">
        <w:rPr>
          <w:rFonts w:cstheme="minorHAnsi"/>
          <w:b/>
          <w:color w:val="404040" w:themeColor="text1" w:themeTint="BF"/>
        </w:rPr>
        <w:t xml:space="preserve">od 858 EUR do 27 797 EUR a v roce 2030 od 4 657 EUR do 58 760 EUR </w:t>
      </w:r>
      <w:r w:rsidR="005817EE">
        <w:rPr>
          <w:rFonts w:cstheme="minorHAnsi"/>
          <w:b/>
          <w:color w:val="404040" w:themeColor="text1" w:themeTint="BF"/>
        </w:rPr>
        <w:t>dle</w:t>
      </w:r>
      <w:r w:rsidRPr="0089091A">
        <w:rPr>
          <w:rFonts w:cstheme="minorHAnsi"/>
          <w:b/>
          <w:color w:val="404040" w:themeColor="text1" w:themeTint="BF"/>
        </w:rPr>
        <w:t xml:space="preserve"> uvažovaných možností. V </w:t>
      </w:r>
      <w:r w:rsidR="00B6003D" w:rsidRPr="0089091A">
        <w:rPr>
          <w:rFonts w:cstheme="minorHAnsi"/>
          <w:b/>
          <w:color w:val="404040" w:themeColor="text1" w:themeTint="BF"/>
        </w:rPr>
        <w:t>relativní</w:t>
      </w:r>
      <w:r w:rsidRPr="0089091A">
        <w:rPr>
          <w:rFonts w:cstheme="minorHAnsi"/>
          <w:b/>
          <w:color w:val="404040" w:themeColor="text1" w:themeTint="BF"/>
        </w:rPr>
        <w:t xml:space="preserve">m vyjádření to představuje hodnotu mezi </w:t>
      </w:r>
      <w:r w:rsidR="00B6003D" w:rsidRPr="0089091A">
        <w:rPr>
          <w:rFonts w:cstheme="minorHAnsi"/>
          <w:b/>
          <w:color w:val="404040" w:themeColor="text1" w:themeTint="BF"/>
        </w:rPr>
        <w:t>0,8 a 25,3</w:t>
      </w:r>
      <w:r w:rsidRPr="0089091A">
        <w:rPr>
          <w:rFonts w:cstheme="minorHAnsi"/>
          <w:b/>
          <w:color w:val="404040" w:themeColor="text1" w:themeTint="BF"/>
        </w:rPr>
        <w:t xml:space="preserve"> </w:t>
      </w:r>
      <w:r w:rsidR="00B6003D" w:rsidRPr="0089091A">
        <w:rPr>
          <w:rFonts w:cstheme="minorHAnsi"/>
          <w:b/>
          <w:color w:val="404040" w:themeColor="text1" w:themeTint="BF"/>
        </w:rPr>
        <w:t>% kupní ceny vozidla</w:t>
      </w:r>
      <w:r w:rsidRPr="0089091A">
        <w:rPr>
          <w:rFonts w:cstheme="minorHAnsi"/>
          <w:b/>
          <w:color w:val="404040" w:themeColor="text1" w:themeTint="BF"/>
        </w:rPr>
        <w:t>.</w:t>
      </w:r>
    </w:p>
    <w:p w:rsidR="00B6003D" w:rsidRPr="00987FA1" w:rsidRDefault="00B6003D" w:rsidP="005942E7">
      <w:pPr>
        <w:pStyle w:val="Odstavecseseznamem"/>
        <w:spacing w:after="0"/>
        <w:jc w:val="both"/>
        <w:rPr>
          <w:rFonts w:cstheme="minorHAnsi"/>
          <w:color w:val="404040" w:themeColor="text1" w:themeTint="BF"/>
        </w:rPr>
      </w:pPr>
    </w:p>
    <w:p w:rsidR="005942E7" w:rsidRPr="00C83FC1" w:rsidRDefault="005942E7" w:rsidP="005942E7">
      <w:pPr>
        <w:spacing w:after="0"/>
        <w:jc w:val="both"/>
        <w:rPr>
          <w:rFonts w:cstheme="minorHAnsi"/>
          <w:b/>
          <w:color w:val="404040" w:themeColor="text1" w:themeTint="BF"/>
          <w:u w:val="single"/>
        </w:rPr>
      </w:pPr>
      <w:r w:rsidRPr="00C83FC1">
        <w:rPr>
          <w:rFonts w:cstheme="minorHAnsi"/>
          <w:b/>
          <w:color w:val="404040" w:themeColor="text1" w:themeTint="BF"/>
          <w:u w:val="single"/>
        </w:rPr>
        <w:t>Nařízení</w:t>
      </w:r>
    </w:p>
    <w:p w:rsidR="005942E7" w:rsidRDefault="005942E7" w:rsidP="00B6003D">
      <w:pPr>
        <w:pStyle w:val="Odstavecseseznamem"/>
        <w:numPr>
          <w:ilvl w:val="0"/>
          <w:numId w:val="42"/>
        </w:numPr>
        <w:spacing w:after="0"/>
        <w:jc w:val="both"/>
        <w:rPr>
          <w:rFonts w:cstheme="minorHAnsi"/>
          <w:color w:val="404040" w:themeColor="text1" w:themeTint="BF"/>
        </w:rPr>
      </w:pPr>
      <w:r w:rsidRPr="00906DB2">
        <w:rPr>
          <w:rFonts w:cstheme="minorHAnsi"/>
          <w:color w:val="404040" w:themeColor="text1" w:themeTint="BF"/>
        </w:rPr>
        <w:t xml:space="preserve">Článek 1 </w:t>
      </w:r>
      <w:r>
        <w:rPr>
          <w:rFonts w:cstheme="minorHAnsi"/>
          <w:color w:val="404040" w:themeColor="text1" w:themeTint="BF"/>
        </w:rPr>
        <w:t>(</w:t>
      </w:r>
      <w:r w:rsidRPr="00906DB2">
        <w:rPr>
          <w:rFonts w:cstheme="minorHAnsi"/>
          <w:color w:val="404040" w:themeColor="text1" w:themeTint="BF"/>
        </w:rPr>
        <w:t>Předmět</w:t>
      </w:r>
      <w:r>
        <w:rPr>
          <w:rFonts w:cstheme="minorHAnsi"/>
          <w:color w:val="404040" w:themeColor="text1" w:themeTint="BF"/>
        </w:rPr>
        <w:t xml:space="preserve">) </w:t>
      </w:r>
      <w:r w:rsidRPr="00906DB2">
        <w:rPr>
          <w:rFonts w:cstheme="minorHAnsi"/>
          <w:color w:val="404040" w:themeColor="text1" w:themeTint="BF"/>
        </w:rPr>
        <w:t>stanoví cíl nařízení, kterým je přispět k dosažení snížení emisí CO</w:t>
      </w:r>
      <w:r w:rsidRPr="00906DB2">
        <w:rPr>
          <w:rFonts w:cstheme="minorHAnsi"/>
          <w:color w:val="404040" w:themeColor="text1" w:themeTint="BF"/>
          <w:vertAlign w:val="subscript"/>
        </w:rPr>
        <w:t>2</w:t>
      </w:r>
      <w:r w:rsidRPr="00906DB2">
        <w:rPr>
          <w:rFonts w:cstheme="minorHAnsi"/>
          <w:color w:val="404040" w:themeColor="text1" w:themeTint="BF"/>
        </w:rPr>
        <w:t xml:space="preserve">. Stanoví rovněž </w:t>
      </w:r>
      <w:r w:rsidRPr="005B2258">
        <w:rPr>
          <w:rFonts w:cstheme="minorHAnsi"/>
          <w:b/>
          <w:color w:val="404040" w:themeColor="text1" w:themeTint="BF"/>
        </w:rPr>
        <w:t>relativní cíle</w:t>
      </w:r>
      <w:r w:rsidRPr="00906DB2">
        <w:rPr>
          <w:rFonts w:cstheme="minorHAnsi"/>
          <w:color w:val="404040" w:themeColor="text1" w:themeTint="BF"/>
        </w:rPr>
        <w:t xml:space="preserve"> </w:t>
      </w:r>
      <w:r w:rsidRPr="005B2258">
        <w:rPr>
          <w:rFonts w:cstheme="minorHAnsi"/>
          <w:b/>
          <w:color w:val="404040" w:themeColor="text1" w:themeTint="BF"/>
        </w:rPr>
        <w:t>snížení</w:t>
      </w:r>
      <w:r>
        <w:rPr>
          <w:rFonts w:cstheme="minorHAnsi"/>
          <w:b/>
          <w:color w:val="404040" w:themeColor="text1" w:themeTint="BF"/>
        </w:rPr>
        <w:t xml:space="preserve"> (o 15 %)</w:t>
      </w:r>
      <w:r w:rsidRPr="00906DB2">
        <w:rPr>
          <w:rFonts w:cstheme="minorHAnsi"/>
          <w:color w:val="404040" w:themeColor="text1" w:themeTint="BF"/>
        </w:rPr>
        <w:t xml:space="preserve">, kterých má v letech </w:t>
      </w:r>
      <w:r w:rsidRPr="005B2258">
        <w:rPr>
          <w:rFonts w:cstheme="minorHAnsi"/>
          <w:b/>
          <w:color w:val="404040" w:themeColor="text1" w:themeTint="BF"/>
        </w:rPr>
        <w:t>2025 až 2029</w:t>
      </w:r>
      <w:r w:rsidRPr="00906DB2">
        <w:rPr>
          <w:rFonts w:cstheme="minorHAnsi"/>
          <w:color w:val="404040" w:themeColor="text1" w:themeTint="BF"/>
        </w:rPr>
        <w:t xml:space="preserve"> dosáhnout vozový park nových těžkých </w:t>
      </w:r>
      <w:r w:rsidR="001920D9">
        <w:rPr>
          <w:rFonts w:cstheme="minorHAnsi"/>
          <w:color w:val="404040" w:themeColor="text1" w:themeTint="BF"/>
        </w:rPr>
        <w:t xml:space="preserve">užitkových </w:t>
      </w:r>
      <w:r w:rsidRPr="00906DB2">
        <w:rPr>
          <w:rFonts w:cstheme="minorHAnsi"/>
          <w:color w:val="404040" w:themeColor="text1" w:themeTint="BF"/>
        </w:rPr>
        <w:t>vozidel</w:t>
      </w:r>
      <w:r w:rsidR="001920D9">
        <w:rPr>
          <w:rFonts w:cstheme="minorHAnsi"/>
          <w:color w:val="404040" w:themeColor="text1" w:themeTint="BF"/>
        </w:rPr>
        <w:t xml:space="preserve"> HDV</w:t>
      </w:r>
      <w:r w:rsidRPr="00906DB2">
        <w:rPr>
          <w:rFonts w:cstheme="minorHAnsi"/>
          <w:color w:val="404040" w:themeColor="text1" w:themeTint="BF"/>
        </w:rPr>
        <w:t xml:space="preserve">. Stanoví </w:t>
      </w:r>
      <w:r w:rsidRPr="005B2258">
        <w:rPr>
          <w:rFonts w:cstheme="minorHAnsi"/>
          <w:b/>
          <w:color w:val="404040" w:themeColor="text1" w:themeTint="BF"/>
        </w:rPr>
        <w:t>„aspirační“ cíl pro rok 2030</w:t>
      </w:r>
      <w:r>
        <w:rPr>
          <w:rFonts w:cstheme="minorHAnsi"/>
          <w:b/>
          <w:color w:val="404040" w:themeColor="text1" w:themeTint="BF"/>
        </w:rPr>
        <w:t xml:space="preserve"> (nejméně o 30 %)</w:t>
      </w:r>
      <w:r w:rsidRPr="00906DB2">
        <w:rPr>
          <w:rFonts w:cstheme="minorHAnsi"/>
          <w:color w:val="404040" w:themeColor="text1" w:themeTint="BF"/>
        </w:rPr>
        <w:t xml:space="preserve">, který by </w:t>
      </w:r>
      <w:r>
        <w:rPr>
          <w:rFonts w:cstheme="minorHAnsi"/>
          <w:color w:val="404040" w:themeColor="text1" w:themeTint="BF"/>
        </w:rPr>
        <w:t xml:space="preserve">poté </w:t>
      </w:r>
      <w:r w:rsidRPr="00906DB2">
        <w:rPr>
          <w:rFonts w:cstheme="minorHAnsi"/>
          <w:color w:val="404040" w:themeColor="text1" w:themeTint="BF"/>
        </w:rPr>
        <w:t xml:space="preserve">měl být </w:t>
      </w:r>
      <w:r>
        <w:rPr>
          <w:rFonts w:cstheme="minorHAnsi"/>
          <w:color w:val="404040" w:themeColor="text1" w:themeTint="BF"/>
        </w:rPr>
        <w:t xml:space="preserve">povinně a </w:t>
      </w:r>
      <w:r w:rsidRPr="00906DB2">
        <w:rPr>
          <w:rFonts w:cstheme="minorHAnsi"/>
          <w:color w:val="404040" w:themeColor="text1" w:themeTint="BF"/>
        </w:rPr>
        <w:t xml:space="preserve">jasně stanoven na základě </w:t>
      </w:r>
      <w:r w:rsidRPr="005B2258">
        <w:rPr>
          <w:rFonts w:cstheme="minorHAnsi"/>
          <w:b/>
          <w:color w:val="404040" w:themeColor="text1" w:themeTint="BF"/>
        </w:rPr>
        <w:t>přezkumu v roce 2022</w:t>
      </w:r>
      <w:r w:rsidRPr="00906DB2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1"/>
          <w:numId w:val="42"/>
        </w:numPr>
        <w:spacing w:after="0"/>
        <w:jc w:val="both"/>
        <w:rPr>
          <w:rFonts w:cstheme="minorHAnsi"/>
          <w:color w:val="404040" w:themeColor="text1" w:themeTint="BF"/>
        </w:rPr>
      </w:pPr>
      <w:r w:rsidRPr="00A672EB">
        <w:rPr>
          <w:rFonts w:cstheme="minorHAnsi"/>
          <w:color w:val="404040" w:themeColor="text1" w:themeTint="BF"/>
        </w:rPr>
        <w:lastRenderedPageBreak/>
        <w:t>Cíle jsou stanoveny jako relativní snížení průměrných specifických emisí vozidel registrovaných v referenčním roce 2019, což je první rok, za který budou k dispozici oficiálně sledované údaje o</w:t>
      </w:r>
      <w:r>
        <w:rPr>
          <w:rFonts w:cstheme="minorHAnsi"/>
          <w:color w:val="404040" w:themeColor="text1" w:themeTint="BF"/>
        </w:rPr>
        <w:t> </w:t>
      </w:r>
      <w:r w:rsidRPr="00A672EB">
        <w:rPr>
          <w:rFonts w:cstheme="minorHAnsi"/>
          <w:color w:val="404040" w:themeColor="text1" w:themeTint="BF"/>
        </w:rPr>
        <w:t>emisích CO</w:t>
      </w:r>
      <w:r w:rsidRPr="00A672EB">
        <w:rPr>
          <w:rFonts w:cstheme="minorHAnsi"/>
          <w:color w:val="404040" w:themeColor="text1" w:themeTint="BF"/>
          <w:vertAlign w:val="subscript"/>
        </w:rPr>
        <w:t>2</w:t>
      </w:r>
      <w:r w:rsidRPr="00A672EB">
        <w:rPr>
          <w:rFonts w:cstheme="minorHAnsi"/>
          <w:color w:val="404040" w:themeColor="text1" w:themeTint="BF"/>
        </w:rPr>
        <w:t>. Cíle jsou přiřazeny každé podskupině vozidel definované v</w:t>
      </w:r>
      <w:r w:rsidR="002D797B">
        <w:rPr>
          <w:rFonts w:cstheme="minorHAnsi"/>
          <w:color w:val="404040" w:themeColor="text1" w:themeTint="BF"/>
        </w:rPr>
        <w:t> </w:t>
      </w:r>
      <w:r w:rsidRPr="00A672EB">
        <w:rPr>
          <w:rFonts w:cstheme="minorHAnsi"/>
          <w:color w:val="404040" w:themeColor="text1" w:themeTint="BF"/>
        </w:rPr>
        <w:t xml:space="preserve">oddíle 1 přílohy I. Speciální </w:t>
      </w:r>
      <w:r w:rsidR="002D797B">
        <w:rPr>
          <w:rFonts w:cstheme="minorHAnsi"/>
          <w:color w:val="404040" w:themeColor="text1" w:themeTint="BF"/>
        </w:rPr>
        <w:t>užitková</w:t>
      </w:r>
      <w:r w:rsidRPr="00A672EB">
        <w:rPr>
          <w:rFonts w:cstheme="minorHAnsi"/>
          <w:color w:val="404040" w:themeColor="text1" w:themeTint="BF"/>
        </w:rPr>
        <w:t xml:space="preserve"> vozidla (např. popelářské vozy a stavební vozidla; vozidla, která nejsou určena k přepravě zboží dle nařízení (ES) č. 595/2009 jsou vyloučeny z</w:t>
      </w:r>
      <w:r w:rsidR="002D797B">
        <w:rPr>
          <w:rFonts w:cstheme="minorHAnsi"/>
          <w:color w:val="404040" w:themeColor="text1" w:themeTint="BF"/>
        </w:rPr>
        <w:t> </w:t>
      </w:r>
      <w:r w:rsidRPr="00A672EB">
        <w:rPr>
          <w:rFonts w:cstheme="minorHAnsi"/>
          <w:color w:val="404040" w:themeColor="text1" w:themeTint="BF"/>
        </w:rPr>
        <w:t>výpočtu referenčních emisí CO</w:t>
      </w:r>
      <w:r w:rsidRPr="00A672EB">
        <w:rPr>
          <w:rFonts w:cstheme="minorHAnsi"/>
          <w:color w:val="404040" w:themeColor="text1" w:themeTint="BF"/>
          <w:vertAlign w:val="subscript"/>
        </w:rPr>
        <w:t>2</w:t>
      </w:r>
      <w:r w:rsidRPr="00A672EB">
        <w:rPr>
          <w:rFonts w:cstheme="minorHAnsi"/>
          <w:color w:val="404040" w:themeColor="text1" w:themeTint="BF"/>
        </w:rPr>
        <w:t>.</w:t>
      </w:r>
    </w:p>
    <w:p w:rsidR="005942E7" w:rsidRPr="005B2258" w:rsidRDefault="005942E7" w:rsidP="00B6003D">
      <w:pPr>
        <w:pStyle w:val="Odstavecseseznamem"/>
        <w:numPr>
          <w:ilvl w:val="1"/>
          <w:numId w:val="42"/>
        </w:numPr>
        <w:spacing w:after="0"/>
        <w:jc w:val="both"/>
        <w:rPr>
          <w:rFonts w:cstheme="minorHAnsi"/>
          <w:color w:val="404040" w:themeColor="text1" w:themeTint="BF"/>
        </w:rPr>
      </w:pPr>
      <w:r w:rsidRPr="005B2258">
        <w:rPr>
          <w:rFonts w:cstheme="minorHAnsi"/>
          <w:color w:val="404040" w:themeColor="text1" w:themeTint="BF"/>
        </w:rPr>
        <w:t>Referenční emise CO</w:t>
      </w:r>
      <w:r w:rsidRPr="005B2258">
        <w:rPr>
          <w:rFonts w:cstheme="minorHAnsi"/>
          <w:color w:val="404040" w:themeColor="text1" w:themeTint="BF"/>
          <w:vertAlign w:val="subscript"/>
        </w:rPr>
        <w:t>2</w:t>
      </w:r>
      <w:r w:rsidRPr="005B2258">
        <w:rPr>
          <w:rFonts w:cstheme="minorHAnsi"/>
          <w:color w:val="404040" w:themeColor="text1" w:themeTint="BF"/>
        </w:rPr>
        <w:t xml:space="preserve"> se stanoví v souladu s oddílem 3 přílohy I.</w:t>
      </w:r>
    </w:p>
    <w:p w:rsidR="005942E7" w:rsidRPr="002D12EB" w:rsidRDefault="005942E7" w:rsidP="005942E7">
      <w:pPr>
        <w:spacing w:after="0"/>
        <w:jc w:val="both"/>
        <w:rPr>
          <w:rFonts w:cstheme="minorHAnsi"/>
          <w:color w:val="404040" w:themeColor="text1" w:themeTint="BF"/>
          <w:sz w:val="18"/>
        </w:rPr>
      </w:pPr>
    </w:p>
    <w:p w:rsidR="00830147" w:rsidRDefault="00830147" w:rsidP="00830147">
      <w:pPr>
        <w:spacing w:after="0"/>
        <w:jc w:val="both"/>
        <w:rPr>
          <w:noProof/>
          <w:color w:val="404040" w:themeColor="text1" w:themeTint="BF"/>
        </w:rPr>
      </w:pPr>
      <w:r w:rsidRPr="00DF0753">
        <w:rPr>
          <w:b/>
          <w:noProof/>
          <w:color w:val="404040" w:themeColor="text1" w:themeTint="BF"/>
        </w:rPr>
        <w:t>P</w:t>
      </w:r>
      <w:r w:rsidRPr="00345F20">
        <w:rPr>
          <w:b/>
          <w:noProof/>
          <w:color w:val="404040" w:themeColor="text1" w:themeTint="BF"/>
        </w:rPr>
        <w:t>říloha I (</w:t>
      </w:r>
      <w:hyperlink r:id="rId128" w:history="1">
        <w:r w:rsidRPr="000D1068">
          <w:rPr>
            <w:rStyle w:val="Hypertextovodkaz"/>
            <w:b/>
            <w:noProof/>
          </w:rPr>
          <w:t>zde</w:t>
        </w:r>
      </w:hyperlink>
      <w:r w:rsidRPr="00345F20">
        <w:rPr>
          <w:b/>
          <w:noProof/>
          <w:color w:val="404040" w:themeColor="text1" w:themeTint="BF"/>
        </w:rPr>
        <w:t xml:space="preserve">), </w:t>
      </w:r>
      <w:r>
        <w:rPr>
          <w:b/>
          <w:noProof/>
          <w:color w:val="404040" w:themeColor="text1" w:themeTint="BF"/>
        </w:rPr>
        <w:t xml:space="preserve">oddíl 3 </w:t>
      </w:r>
    </w:p>
    <w:p w:rsidR="00830147" w:rsidRPr="009050A1" w:rsidRDefault="00830147" w:rsidP="00830147">
      <w:pPr>
        <w:spacing w:after="0"/>
        <w:jc w:val="both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 xml:space="preserve">3. </w:t>
      </w:r>
      <w:r w:rsidRPr="009050A1">
        <w:rPr>
          <w:b/>
          <w:noProof/>
          <w:color w:val="404040" w:themeColor="text1" w:themeTint="BF"/>
        </w:rPr>
        <w:t xml:space="preserve">Výpočet referenčních emisí </w:t>
      </w:r>
      <w:r w:rsidRPr="00F960DD">
        <w:rPr>
          <w:rFonts w:cstheme="minorHAnsi"/>
          <w:b/>
          <w:color w:val="404040" w:themeColor="text1" w:themeTint="BF"/>
        </w:rPr>
        <w:t>CO</w:t>
      </w:r>
      <w:r w:rsidRPr="00F960DD">
        <w:rPr>
          <w:rFonts w:cstheme="minorHAnsi"/>
          <w:b/>
          <w:color w:val="404040" w:themeColor="text1" w:themeTint="BF"/>
          <w:vertAlign w:val="subscript"/>
        </w:rPr>
        <w:t>2</w:t>
      </w:r>
      <w:r w:rsidRPr="009050A1">
        <w:rPr>
          <w:b/>
          <w:noProof/>
          <w:color w:val="404040" w:themeColor="text1" w:themeTint="BF"/>
        </w:rPr>
        <w:t xml:space="preserve"> uvedených v </w:t>
      </w:r>
      <w:r>
        <w:rPr>
          <w:b/>
          <w:noProof/>
          <w:color w:val="404040" w:themeColor="text1" w:themeTint="BF"/>
        </w:rPr>
        <w:t>č</w:t>
      </w:r>
      <w:r w:rsidRPr="009050A1">
        <w:rPr>
          <w:b/>
          <w:noProof/>
          <w:color w:val="404040" w:themeColor="text1" w:themeTint="BF"/>
        </w:rPr>
        <w:t>lánku 1</w:t>
      </w: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6804"/>
      </w:tblGrid>
      <w:tr w:rsidR="00830147" w:rsidRPr="00DF0708" w:rsidTr="00DE223A">
        <w:tc>
          <w:tcPr>
            <w:tcW w:w="9606" w:type="dxa"/>
            <w:gridSpan w:val="3"/>
          </w:tcPr>
          <w:p w:rsidR="00830147" w:rsidRPr="00B86364" w:rsidRDefault="00830147" w:rsidP="00DE223A">
            <w:pPr>
              <w:jc w:val="both"/>
              <w:rPr>
                <w:rFonts w:cstheme="minorHAnsi"/>
                <w:noProof/>
                <w:color w:val="404040" w:themeColor="text1" w:themeTint="BF"/>
              </w:rPr>
            </w:pPr>
            <w:r w:rsidRPr="00D12C91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  <w:t xml:space="preserve">3. Referenční emise </w:t>
            </w:r>
            <w:r w:rsidRPr="00D12C91">
              <w:rPr>
                <w:rFonts w:cstheme="minorHAnsi"/>
                <w:color w:val="404040" w:themeColor="text1" w:themeTint="BF"/>
                <w:sz w:val="20"/>
              </w:rPr>
              <w:t>CO</w:t>
            </w:r>
            <w:r w:rsidRPr="00D12C91">
              <w:rPr>
                <w:rFonts w:cstheme="minorHAnsi"/>
                <w:color w:val="404040" w:themeColor="text1" w:themeTint="BF"/>
                <w:sz w:val="20"/>
                <w:vertAlign w:val="subscript"/>
              </w:rPr>
              <w:t>2</w:t>
            </w:r>
            <w:r w:rsidRPr="00D12C91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  <w:t xml:space="preserve"> (</w:t>
            </w:r>
            <w:r w:rsidRPr="00D12C91">
              <w:rPr>
                <w:iCs/>
                <w:color w:val="404040" w:themeColor="text1" w:themeTint="BF"/>
                <w:sz w:val="20"/>
              </w:rPr>
              <w:t>rCO2</w:t>
            </w:r>
            <w:r w:rsidRPr="00D12C91">
              <w:rPr>
                <w:iCs/>
                <w:color w:val="404040" w:themeColor="text1" w:themeTint="BF"/>
                <w:sz w:val="20"/>
                <w:vertAlign w:val="subscript"/>
              </w:rPr>
              <w:t>sg</w:t>
            </w:r>
            <w:r w:rsidRPr="00D12C91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  <w:t xml:space="preserve">) se vypočítají pro každou podskupinu </w:t>
            </w:r>
            <w:r w:rsidR="002D797B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  <w:t>„</w:t>
            </w:r>
            <w:r w:rsidRPr="00D12C91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  <w:t>sg</w:t>
            </w:r>
            <w:r w:rsidR="002D797B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  <w:t>“</w:t>
            </w:r>
            <w:r w:rsidRPr="00D12C91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  <w:t xml:space="preserve"> na základě všech nových těžkých užitkových vozidel 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  <w:t xml:space="preserve">HDV </w:t>
            </w:r>
            <w:r w:rsidRPr="00D12C91"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  <w:t>všech výrobců roku 2019 takto: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DF0708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F0708">
              <w:rPr>
                <w:rFonts w:ascii="Cambria Math" w:hAnsi="Cambria Math" w:cs="Cambria Math"/>
                <w:b/>
                <w:color w:val="404040" w:themeColor="text1" w:themeTint="BF"/>
              </w:rPr>
              <w:t>𝑟𝐶𝑂</w:t>
            </w:r>
            <w:r w:rsidRPr="00DF0708">
              <w:rPr>
                <w:b/>
                <w:color w:val="404040" w:themeColor="text1" w:themeTint="BF"/>
              </w:rPr>
              <w:t>2</w:t>
            </w:r>
            <w:r w:rsidRPr="00DF0708">
              <w:rPr>
                <w:rFonts w:ascii="Cambria Math" w:hAnsi="Cambria Math" w:cs="Cambria Math"/>
                <w:b/>
                <w:color w:val="404040" w:themeColor="text1" w:themeTint="BF"/>
                <w:vertAlign w:val="subscript"/>
              </w:rPr>
              <w:t>𝑠𝑔</w:t>
            </w:r>
          </w:p>
        </w:tc>
        <w:tc>
          <w:tcPr>
            <w:tcW w:w="567" w:type="dxa"/>
          </w:tcPr>
          <w:p w:rsidR="00830147" w:rsidRPr="00DF0708" w:rsidRDefault="00830147" w:rsidP="00DE223A">
            <w:pPr>
              <w:jc w:val="center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F0708"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  <w:t>=</w:t>
            </w:r>
          </w:p>
        </w:tc>
        <w:tc>
          <w:tcPr>
            <w:tcW w:w="6804" w:type="dxa"/>
          </w:tcPr>
          <w:p w:rsidR="00830147" w:rsidRPr="00DF0708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12C91">
              <w:rPr>
                <w:rFonts w:asciiTheme="minorHAnsi" w:hAnsiTheme="minorHAnsi" w:cstheme="minorHAnsi"/>
                <w:noProof/>
                <w:color w:val="404040" w:themeColor="text1" w:themeTint="BF"/>
              </w:rPr>
              <w:t>(</w:t>
            </w:r>
            <w:r w:rsidRPr="00DF0708">
              <w:rPr>
                <w:b/>
                <w:color w:val="404040" w:themeColor="text1" w:themeTint="BF"/>
              </w:rPr>
              <w:t>Σ</w:t>
            </w:r>
            <w:r w:rsidRPr="00DF0708">
              <w:rPr>
                <w:b/>
                <w:color w:val="404040" w:themeColor="text1" w:themeTint="BF"/>
                <w:vertAlign w:val="subscript"/>
              </w:rPr>
              <w:t>v</w:t>
            </w:r>
            <w:r w:rsidRPr="00DF0708">
              <w:rPr>
                <w:rFonts w:ascii="Cambria Math" w:hAnsi="Cambria Math" w:cs="Cambria Math"/>
                <w:b/>
                <w:color w:val="404040" w:themeColor="text1" w:themeTint="BF"/>
              </w:rPr>
              <w:t>𝐶𝑂</w:t>
            </w:r>
            <w:r w:rsidRPr="00DF0708">
              <w:rPr>
                <w:b/>
                <w:color w:val="404040" w:themeColor="text1" w:themeTint="BF"/>
              </w:rPr>
              <w:t>2</w:t>
            </w:r>
            <w:r w:rsidRPr="00DF0708">
              <w:rPr>
                <w:rFonts w:ascii="Cambria Math" w:hAnsi="Cambria Math" w:cs="Cambria Math"/>
                <w:b/>
                <w:color w:val="404040" w:themeColor="text1" w:themeTint="BF"/>
                <w:vertAlign w:val="subscript"/>
              </w:rPr>
              <w:t>𝑣</w:t>
            </w:r>
            <w:r w:rsidRPr="00D12C91">
              <w:rPr>
                <w:rFonts w:ascii="Cambria Math" w:hAnsi="Cambria Math" w:cs="Cambria Math"/>
                <w:color w:val="404040" w:themeColor="text1" w:themeTint="BF"/>
              </w:rPr>
              <w:t>)</w:t>
            </w:r>
            <w:r w:rsidR="00D12C91" w:rsidRPr="00D12C91">
              <w:rPr>
                <w:rFonts w:ascii="Cambria Math" w:hAnsi="Cambria Math" w:cs="Cambria Math"/>
                <w:color w:val="404040" w:themeColor="text1" w:themeTint="BF"/>
              </w:rPr>
              <w:t xml:space="preserve"> </w:t>
            </w:r>
            <w:r w:rsidRPr="00D12C91">
              <w:rPr>
                <w:rFonts w:ascii="Cambria Math" w:hAnsi="Cambria Math" w:cs="Cambria Math"/>
                <w:color w:val="404040" w:themeColor="text1" w:themeTint="BF"/>
              </w:rPr>
              <w:t>/</w:t>
            </w:r>
            <w:r w:rsidR="00D12C91" w:rsidRPr="00D12C91">
              <w:rPr>
                <w:rFonts w:ascii="Cambria Math" w:hAnsi="Cambria Math" w:cs="Cambria Math"/>
                <w:color w:val="404040" w:themeColor="text1" w:themeTint="BF"/>
              </w:rPr>
              <w:t xml:space="preserve"> </w:t>
            </w:r>
            <w:r w:rsidRPr="00D12C91">
              <w:rPr>
                <w:rFonts w:ascii="Cambria Math" w:hAnsi="Cambria Math" w:cs="Cambria Math"/>
                <w:color w:val="404040" w:themeColor="text1" w:themeTint="BF"/>
              </w:rPr>
              <w:t>(</w:t>
            </w:r>
            <w:r w:rsidRPr="00DF0708">
              <w:rPr>
                <w:rFonts w:ascii="Cambria Math" w:hAnsi="Cambria Math" w:cs="Cambria Math"/>
                <w:b/>
                <w:color w:val="404040" w:themeColor="text1" w:themeTint="BF"/>
              </w:rPr>
              <w:t>𝑟𝑉</w:t>
            </w:r>
            <w:r w:rsidRPr="00DF0708">
              <w:rPr>
                <w:rFonts w:ascii="Cambria Math" w:hAnsi="Cambria Math" w:cs="Cambria Math"/>
                <w:b/>
                <w:color w:val="404040" w:themeColor="text1" w:themeTint="BF"/>
                <w:vertAlign w:val="subscript"/>
              </w:rPr>
              <w:t>𝑠𝑔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="00D12C91" w:rsidRPr="00D12C91">
              <w:rPr>
                <w:rFonts w:ascii="Cambria Math" w:hAnsi="Cambria Math"/>
                <w:noProof/>
                <w:color w:val="404040" w:themeColor="text1" w:themeTint="BF"/>
                <w:sz w:val="20"/>
              </w:rPr>
              <w:t>×</w:t>
            </w:r>
            <w:r>
              <w:rPr>
                <w:b/>
                <w:color w:val="404040" w:themeColor="text1" w:themeTint="BF"/>
              </w:rPr>
              <w:t xml:space="preserve"> </w:t>
            </w:r>
            <w:r w:rsidRPr="00DF0708">
              <w:rPr>
                <w:rFonts w:ascii="Cambria Math" w:hAnsi="Cambria Math" w:cs="Cambria Math"/>
                <w:b/>
                <w:color w:val="404040" w:themeColor="text1" w:themeTint="BF"/>
              </w:rPr>
              <w:t>𝑃𝐿</w:t>
            </w:r>
            <w:r w:rsidRPr="00DF0708">
              <w:rPr>
                <w:rFonts w:ascii="Cambria Math" w:hAnsi="Cambria Math" w:cs="Cambria Math"/>
                <w:b/>
                <w:color w:val="404040" w:themeColor="text1" w:themeTint="BF"/>
                <w:vertAlign w:val="subscript"/>
              </w:rPr>
              <w:t>𝑠𝑔</w:t>
            </w:r>
            <w:r w:rsidRPr="00D12C91">
              <w:rPr>
                <w:rFonts w:ascii="Cambria Math" w:hAnsi="Cambria Math" w:cs="Cambria Math"/>
                <w:color w:val="404040" w:themeColor="text1" w:themeTint="BF"/>
              </w:rPr>
              <w:t>)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5B225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kde</w:t>
            </w:r>
          </w:p>
        </w:tc>
        <w:tc>
          <w:tcPr>
            <w:tcW w:w="567" w:type="dxa"/>
          </w:tcPr>
          <w:p w:rsidR="00830147" w:rsidRPr="005B2258" w:rsidRDefault="00830147" w:rsidP="00DE223A">
            <w:pPr>
              <w:jc w:val="center"/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8"/>
              </w:rPr>
            </w:pPr>
          </w:p>
        </w:tc>
        <w:tc>
          <w:tcPr>
            <w:tcW w:w="6804" w:type="dxa"/>
          </w:tcPr>
          <w:p w:rsidR="00830147" w:rsidRPr="005B2258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8"/>
              </w:rPr>
            </w:pPr>
          </w:p>
        </w:tc>
      </w:tr>
      <w:tr w:rsidR="00830147" w:rsidRPr="00DF0708" w:rsidTr="00DE223A">
        <w:tc>
          <w:tcPr>
            <w:tcW w:w="2235" w:type="dxa"/>
          </w:tcPr>
          <w:p w:rsidR="00830147" w:rsidRPr="005B225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5B2258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Σ</w:t>
            </w: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vertAlign w:val="subscript"/>
              </w:rPr>
              <w:t>v</w:t>
            </w:r>
          </w:p>
        </w:tc>
        <w:tc>
          <w:tcPr>
            <w:tcW w:w="567" w:type="dxa"/>
          </w:tcPr>
          <w:p w:rsidR="00830147" w:rsidRPr="005B2258" w:rsidRDefault="00830147" w:rsidP="00DE223A">
            <w:pPr>
              <w:jc w:val="center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5B225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součet všech nových těžkých 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užitkových </w:t>
            </w: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vozidel HDV registrovaných v roce 2019 v podskupině 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„</w:t>
            </w: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sg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“</w:t>
            </w: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s výjimkou všech speciálních </w:t>
            </w:r>
            <w:r w:rsidR="002D797B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užitkových</w:t>
            </w: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vozidel v souladu s druhým pododstavcem článku 1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5B225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CO2</w:t>
            </w: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vertAlign w:val="subscript"/>
              </w:rPr>
              <w:t>v</w:t>
            </w:r>
          </w:p>
        </w:tc>
        <w:tc>
          <w:tcPr>
            <w:tcW w:w="567" w:type="dxa"/>
          </w:tcPr>
          <w:p w:rsidR="00830147" w:rsidRPr="005B2258" w:rsidRDefault="00830147" w:rsidP="00DE223A">
            <w:pPr>
              <w:jc w:val="center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5B225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specifické emise </w:t>
            </w:r>
            <w:r w:rsidRPr="005B2258">
              <w:rPr>
                <w:rFonts w:cstheme="minorHAnsi"/>
                <w:color w:val="404040" w:themeColor="text1" w:themeTint="BF"/>
                <w:sz w:val="18"/>
              </w:rPr>
              <w:t>CO</w:t>
            </w:r>
            <w:r w:rsidRPr="005B2258">
              <w:rPr>
                <w:rFonts w:cstheme="minorHAnsi"/>
                <w:color w:val="404040" w:themeColor="text1" w:themeTint="BF"/>
                <w:sz w:val="18"/>
                <w:vertAlign w:val="subscript"/>
              </w:rPr>
              <w:t>2</w:t>
            </w: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vozidla v, určené v souladu s bodem 2.1, případně upraveny podle přílohy II</w:t>
            </w:r>
          </w:p>
        </w:tc>
      </w:tr>
      <w:tr w:rsidR="00830147" w:rsidTr="00DE223A">
        <w:tc>
          <w:tcPr>
            <w:tcW w:w="2235" w:type="dxa"/>
          </w:tcPr>
          <w:p w:rsidR="00830147" w:rsidRPr="005B2258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5B2258">
              <w:rPr>
                <w:noProof/>
                <w:color w:val="404040" w:themeColor="text1" w:themeTint="BF"/>
                <w:sz w:val="18"/>
              </w:rPr>
              <w:t>rV</w:t>
            </w:r>
            <w:r w:rsidRPr="005B2258">
              <w:rPr>
                <w:noProof/>
                <w:color w:val="404040" w:themeColor="text1" w:themeTint="BF"/>
                <w:sz w:val="18"/>
                <w:vertAlign w:val="subscript"/>
              </w:rPr>
              <w:t>sg</w:t>
            </w:r>
          </w:p>
        </w:tc>
        <w:tc>
          <w:tcPr>
            <w:tcW w:w="567" w:type="dxa"/>
          </w:tcPr>
          <w:p w:rsidR="00830147" w:rsidRPr="005B2258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</w:rPr>
            </w:pPr>
            <w:r w:rsidRPr="005B2258">
              <w:rPr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5B2258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5B2258">
              <w:rPr>
                <w:noProof/>
                <w:color w:val="404040" w:themeColor="text1" w:themeTint="BF"/>
                <w:sz w:val="18"/>
              </w:rPr>
              <w:t xml:space="preserve">počet všech nových těžkých užitkových vozidel registrovaných v roce 2019 v podskupině sg s výjimkou všech </w:t>
            </w:r>
            <w:r w:rsidRPr="005B225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speciálních </w:t>
            </w:r>
            <w:r w:rsidR="002D797B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užitkových</w:t>
            </w:r>
            <w:r w:rsidRPr="005B2258">
              <w:rPr>
                <w:noProof/>
                <w:color w:val="404040" w:themeColor="text1" w:themeTint="BF"/>
                <w:sz w:val="18"/>
              </w:rPr>
              <w:t xml:space="preserve"> vozidel podle druhého pododstavce článku 1</w:t>
            </w:r>
          </w:p>
        </w:tc>
      </w:tr>
      <w:tr w:rsidR="00830147" w:rsidTr="00DE223A">
        <w:tc>
          <w:tcPr>
            <w:tcW w:w="2235" w:type="dxa"/>
          </w:tcPr>
          <w:p w:rsidR="00830147" w:rsidRPr="005B2258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5B2258">
              <w:rPr>
                <w:noProof/>
                <w:color w:val="404040" w:themeColor="text1" w:themeTint="BF"/>
                <w:sz w:val="18"/>
              </w:rPr>
              <w:t>PL</w:t>
            </w:r>
            <w:r w:rsidRPr="005B2258">
              <w:rPr>
                <w:noProof/>
                <w:color w:val="404040" w:themeColor="text1" w:themeTint="BF"/>
                <w:sz w:val="18"/>
                <w:vertAlign w:val="subscript"/>
              </w:rPr>
              <w:t>sg</w:t>
            </w:r>
          </w:p>
        </w:tc>
        <w:tc>
          <w:tcPr>
            <w:tcW w:w="567" w:type="dxa"/>
          </w:tcPr>
          <w:p w:rsidR="00830147" w:rsidRPr="005B2258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</w:rPr>
            </w:pPr>
            <w:r w:rsidRPr="005B2258">
              <w:rPr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5B2258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5B2258">
              <w:rPr>
                <w:noProof/>
                <w:color w:val="404040" w:themeColor="text1" w:themeTint="BF"/>
                <w:sz w:val="18"/>
              </w:rPr>
              <w:t>průměrné užitečné zatížení vozidel v podskupině sg podle bodu 2.5</w:t>
            </w:r>
          </w:p>
        </w:tc>
      </w:tr>
    </w:tbl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B6003D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  <w:color w:val="404040" w:themeColor="text1" w:themeTint="BF"/>
        </w:rPr>
      </w:pPr>
      <w:r w:rsidRPr="005B2258">
        <w:rPr>
          <w:rFonts w:cstheme="minorHAnsi"/>
          <w:color w:val="404040" w:themeColor="text1" w:themeTint="BF"/>
        </w:rPr>
        <w:t>Článek 2 (</w:t>
      </w:r>
      <w:r w:rsidRPr="00962C0C">
        <w:rPr>
          <w:rFonts w:cstheme="minorHAnsi"/>
          <w:b/>
          <w:color w:val="404040" w:themeColor="text1" w:themeTint="BF"/>
        </w:rPr>
        <w:t>Rozsah působnosti</w:t>
      </w:r>
      <w:r w:rsidRPr="005B2258">
        <w:rPr>
          <w:rFonts w:cstheme="minorHAnsi"/>
          <w:color w:val="404040" w:themeColor="text1" w:themeTint="BF"/>
        </w:rPr>
        <w:t>) - p</w:t>
      </w:r>
      <w:r>
        <w:rPr>
          <w:rFonts w:cstheme="minorHAnsi"/>
          <w:color w:val="404040" w:themeColor="text1" w:themeTint="BF"/>
        </w:rPr>
        <w:t>ů</w:t>
      </w:r>
      <w:r w:rsidRPr="005B2258">
        <w:rPr>
          <w:rFonts w:cstheme="minorHAnsi"/>
          <w:color w:val="404040" w:themeColor="text1" w:themeTint="BF"/>
        </w:rPr>
        <w:t xml:space="preserve">sobnost se stanovuje pro </w:t>
      </w:r>
      <w:r w:rsidRPr="005B2258">
        <w:rPr>
          <w:rFonts w:cstheme="minorHAnsi"/>
          <w:b/>
          <w:color w:val="404040" w:themeColor="text1" w:themeTint="BF"/>
        </w:rPr>
        <w:t>vozidla N2</w:t>
      </w:r>
      <w:r w:rsidRPr="005B2258">
        <w:rPr>
          <w:rFonts w:cstheme="minorHAnsi"/>
          <w:color w:val="404040" w:themeColor="text1" w:themeTint="BF"/>
        </w:rPr>
        <w:t xml:space="preserve"> (nákladní 3,5t – 12t) a </w:t>
      </w:r>
      <w:r w:rsidRPr="005B2258">
        <w:rPr>
          <w:rFonts w:cstheme="minorHAnsi"/>
          <w:b/>
          <w:color w:val="404040" w:themeColor="text1" w:themeTint="BF"/>
        </w:rPr>
        <w:t>N3</w:t>
      </w:r>
      <w:r w:rsidRPr="005B2258">
        <w:rPr>
          <w:rFonts w:cstheme="minorHAnsi"/>
          <w:color w:val="404040" w:themeColor="text1" w:themeTint="BF"/>
        </w:rPr>
        <w:t xml:space="preserve"> (12t+), která patří do jedné ze čtyř skupin:</w:t>
      </w:r>
    </w:p>
    <w:p w:rsidR="005942E7" w:rsidRDefault="005942E7" w:rsidP="00B6003D">
      <w:pPr>
        <w:pStyle w:val="Odstavecseseznamem"/>
        <w:numPr>
          <w:ilvl w:val="1"/>
          <w:numId w:val="43"/>
        </w:numPr>
        <w:spacing w:after="0"/>
        <w:jc w:val="both"/>
        <w:rPr>
          <w:rFonts w:cstheme="minorHAnsi"/>
          <w:color w:val="404040" w:themeColor="text1" w:themeTint="BF"/>
        </w:rPr>
      </w:pPr>
      <w:r w:rsidRPr="005B2258">
        <w:rPr>
          <w:rFonts w:cstheme="minorHAnsi"/>
          <w:color w:val="404040" w:themeColor="text1" w:themeTint="BF"/>
        </w:rPr>
        <w:t>pevné nákladní automobily (které nejsou konstruovány pro tažení návěsu) s konfigurací náprav 4x2 a technicky přípustnou maximální hmotností naloženého vozidla nad 16 tun;</w:t>
      </w:r>
    </w:p>
    <w:p w:rsidR="005942E7" w:rsidRDefault="005942E7" w:rsidP="00B6003D">
      <w:pPr>
        <w:pStyle w:val="Odstavecseseznamem"/>
        <w:numPr>
          <w:ilvl w:val="1"/>
          <w:numId w:val="43"/>
        </w:numPr>
        <w:spacing w:after="0"/>
        <w:jc w:val="both"/>
        <w:rPr>
          <w:rFonts w:cstheme="minorHAnsi"/>
          <w:color w:val="404040" w:themeColor="text1" w:themeTint="BF"/>
        </w:rPr>
      </w:pPr>
      <w:r w:rsidRPr="005B2258">
        <w:rPr>
          <w:rFonts w:cstheme="minorHAnsi"/>
          <w:color w:val="404040" w:themeColor="text1" w:themeTint="BF"/>
        </w:rPr>
        <w:t>pevné nákladní automobily (které nejsou konstruovány pro tažení návěsu) s konfigurací náprav 6x2;</w:t>
      </w:r>
    </w:p>
    <w:p w:rsidR="005942E7" w:rsidRDefault="005942E7" w:rsidP="00B6003D">
      <w:pPr>
        <w:pStyle w:val="Odstavecseseznamem"/>
        <w:numPr>
          <w:ilvl w:val="1"/>
          <w:numId w:val="43"/>
        </w:numPr>
        <w:spacing w:after="0"/>
        <w:jc w:val="both"/>
        <w:rPr>
          <w:rFonts w:cstheme="minorHAnsi"/>
          <w:color w:val="404040" w:themeColor="text1" w:themeTint="BF"/>
        </w:rPr>
      </w:pPr>
      <w:r w:rsidRPr="005B2258">
        <w:rPr>
          <w:rFonts w:cstheme="minorHAnsi"/>
          <w:color w:val="404040" w:themeColor="text1" w:themeTint="BF"/>
        </w:rPr>
        <w:t>t</w:t>
      </w:r>
      <w:r w:rsidR="00593885">
        <w:rPr>
          <w:rFonts w:cstheme="minorHAnsi"/>
          <w:color w:val="404040" w:themeColor="text1" w:themeTint="BF"/>
        </w:rPr>
        <w:t>ahače</w:t>
      </w:r>
      <w:r w:rsidRPr="005B2258">
        <w:rPr>
          <w:rFonts w:cstheme="minorHAnsi"/>
          <w:color w:val="404040" w:themeColor="text1" w:themeTint="BF"/>
        </w:rPr>
        <w:t xml:space="preserve"> </w:t>
      </w:r>
      <w:r w:rsidR="00982ED6">
        <w:rPr>
          <w:rFonts w:cstheme="minorHAnsi"/>
          <w:color w:val="404040" w:themeColor="text1" w:themeTint="BF"/>
        </w:rPr>
        <w:t xml:space="preserve">(návěsů) </w:t>
      </w:r>
      <w:r w:rsidRPr="005B2258">
        <w:rPr>
          <w:rFonts w:cstheme="minorHAnsi"/>
          <w:color w:val="404040" w:themeColor="text1" w:themeTint="BF"/>
        </w:rPr>
        <w:t>s konfigurací náprav 4x2 a maximální technicky přípustnou hmotností naloženého vozidla nad 16 tun;</w:t>
      </w:r>
    </w:p>
    <w:p w:rsidR="005942E7" w:rsidRDefault="005942E7" w:rsidP="00B6003D">
      <w:pPr>
        <w:pStyle w:val="Odstavecseseznamem"/>
        <w:numPr>
          <w:ilvl w:val="1"/>
          <w:numId w:val="43"/>
        </w:numPr>
        <w:spacing w:after="0"/>
        <w:jc w:val="both"/>
        <w:rPr>
          <w:rFonts w:cstheme="minorHAnsi"/>
          <w:color w:val="404040" w:themeColor="text1" w:themeTint="BF"/>
        </w:rPr>
      </w:pPr>
      <w:r w:rsidRPr="005B2258">
        <w:rPr>
          <w:rFonts w:cstheme="minorHAnsi"/>
          <w:color w:val="404040" w:themeColor="text1" w:themeTint="BF"/>
        </w:rPr>
        <w:t>t</w:t>
      </w:r>
      <w:r w:rsidR="00982ED6">
        <w:rPr>
          <w:rFonts w:cstheme="minorHAnsi"/>
          <w:color w:val="404040" w:themeColor="text1" w:themeTint="BF"/>
        </w:rPr>
        <w:t>ahače (návěsů)</w:t>
      </w:r>
      <w:r w:rsidRPr="005B2258">
        <w:rPr>
          <w:rFonts w:cstheme="minorHAnsi"/>
          <w:color w:val="404040" w:themeColor="text1" w:themeTint="BF"/>
        </w:rPr>
        <w:t xml:space="preserve"> s konfigurací náprav 6x2.</w:t>
      </w:r>
    </w:p>
    <w:p w:rsidR="005942E7" w:rsidRDefault="005942E7" w:rsidP="005942E7">
      <w:pPr>
        <w:pStyle w:val="Odstavecseseznamem"/>
        <w:spacing w:after="0"/>
        <w:ind w:left="1440"/>
        <w:jc w:val="both"/>
        <w:rPr>
          <w:rFonts w:cstheme="minorHAnsi"/>
          <w:color w:val="404040" w:themeColor="text1" w:themeTint="BF"/>
        </w:rPr>
      </w:pPr>
    </w:p>
    <w:p w:rsidR="005942E7" w:rsidRDefault="005942E7" w:rsidP="00B6003D">
      <w:pPr>
        <w:pStyle w:val="Odstavecseseznamem"/>
        <w:numPr>
          <w:ilvl w:val="1"/>
          <w:numId w:val="43"/>
        </w:numPr>
        <w:spacing w:after="0"/>
        <w:jc w:val="both"/>
        <w:rPr>
          <w:rFonts w:cstheme="minorHAnsi"/>
          <w:color w:val="404040" w:themeColor="text1" w:themeTint="BF"/>
        </w:rPr>
      </w:pPr>
      <w:r w:rsidRPr="005B2258">
        <w:rPr>
          <w:rFonts w:cstheme="minorHAnsi"/>
          <w:color w:val="404040" w:themeColor="text1" w:themeTint="BF"/>
        </w:rPr>
        <w:t xml:space="preserve">Použije se rovněž pro účely článku 5 a bodu 2.3 přílohy I pro vozidla kategorií </w:t>
      </w:r>
      <w:r w:rsidRPr="005B2258">
        <w:rPr>
          <w:rFonts w:cstheme="minorHAnsi"/>
          <w:b/>
          <w:color w:val="404040" w:themeColor="text1" w:themeTint="BF"/>
        </w:rPr>
        <w:t>M2 a M3 a</w:t>
      </w:r>
      <w:r>
        <w:rPr>
          <w:rFonts w:cstheme="minorHAnsi"/>
          <w:b/>
          <w:color w:val="404040" w:themeColor="text1" w:themeTint="BF"/>
        </w:rPr>
        <w:t> </w:t>
      </w:r>
      <w:r w:rsidRPr="005B2258">
        <w:rPr>
          <w:rFonts w:cstheme="minorHAnsi"/>
          <w:b/>
          <w:color w:val="404040" w:themeColor="text1" w:themeTint="BF"/>
        </w:rPr>
        <w:t>pro vozidla kategorie N</w:t>
      </w:r>
      <w:r w:rsidRPr="005B2258">
        <w:rPr>
          <w:rFonts w:cstheme="minorHAnsi"/>
          <w:color w:val="404040" w:themeColor="text1" w:themeTint="BF"/>
        </w:rPr>
        <w:t>, která nespadají do oblasti působnosti nařízení (EU) č. 510/2011 a</w:t>
      </w:r>
      <w:r>
        <w:rPr>
          <w:rFonts w:cstheme="minorHAnsi"/>
          <w:color w:val="404040" w:themeColor="text1" w:themeTint="BF"/>
        </w:rPr>
        <w:t> </w:t>
      </w:r>
      <w:r w:rsidRPr="005B2258">
        <w:rPr>
          <w:rFonts w:cstheme="minorHAnsi"/>
          <w:color w:val="404040" w:themeColor="text1" w:themeTint="BF"/>
        </w:rPr>
        <w:t xml:space="preserve">nesplňují vlastnosti stanovené v písmenech a) až d). Tedy </w:t>
      </w:r>
      <w:r w:rsidRPr="005B2258">
        <w:rPr>
          <w:rFonts w:cstheme="minorHAnsi"/>
          <w:b/>
          <w:color w:val="404040" w:themeColor="text1" w:themeTint="BF"/>
        </w:rPr>
        <w:t>pro ně také platí pobídky na podporu bezemisní a nízkoemisní mobility</w:t>
      </w:r>
      <w:r w:rsidRPr="005B2258">
        <w:rPr>
          <w:rFonts w:cstheme="minorHAnsi"/>
          <w:color w:val="404040" w:themeColor="text1" w:themeTint="BF"/>
        </w:rPr>
        <w:t>.</w:t>
      </w:r>
    </w:p>
    <w:p w:rsidR="005942E7" w:rsidRDefault="005942E7" w:rsidP="00B6003D">
      <w:pPr>
        <w:pStyle w:val="Odstavecseseznamem"/>
        <w:numPr>
          <w:ilvl w:val="1"/>
          <w:numId w:val="43"/>
        </w:numPr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S</w:t>
      </w:r>
      <w:r w:rsidRPr="005B2258">
        <w:rPr>
          <w:rFonts w:cstheme="minorHAnsi"/>
          <w:color w:val="404040" w:themeColor="text1" w:themeTint="BF"/>
        </w:rPr>
        <w:t>tanoví</w:t>
      </w:r>
      <w:r>
        <w:rPr>
          <w:rFonts w:cstheme="minorHAnsi"/>
          <w:color w:val="404040" w:themeColor="text1" w:themeTint="BF"/>
        </w:rPr>
        <w:t xml:space="preserve"> se</w:t>
      </w:r>
      <w:r w:rsidRPr="005B2258">
        <w:rPr>
          <w:rFonts w:cstheme="minorHAnsi"/>
          <w:color w:val="404040" w:themeColor="text1" w:themeTint="BF"/>
        </w:rPr>
        <w:t>, kdy jsou vozidla považována za nově registrovaná pro účely nařízení.</w:t>
      </w:r>
    </w:p>
    <w:p w:rsidR="005942E7" w:rsidRPr="005B2258" w:rsidRDefault="005942E7" w:rsidP="00B6003D">
      <w:pPr>
        <w:pStyle w:val="Odstavecseseznamem"/>
        <w:numPr>
          <w:ilvl w:val="0"/>
          <w:numId w:val="43"/>
        </w:numPr>
        <w:spacing w:after="0"/>
        <w:jc w:val="both"/>
        <w:rPr>
          <w:rFonts w:cstheme="minorHAnsi"/>
          <w:color w:val="404040" w:themeColor="text1" w:themeTint="BF"/>
        </w:rPr>
      </w:pPr>
      <w:r w:rsidRPr="005B2258">
        <w:rPr>
          <w:rFonts w:cstheme="minorHAnsi"/>
          <w:color w:val="404040" w:themeColor="text1" w:themeTint="BF"/>
        </w:rPr>
        <w:t xml:space="preserve">Článek 4 </w:t>
      </w:r>
      <w:r>
        <w:rPr>
          <w:rFonts w:cstheme="minorHAnsi"/>
          <w:color w:val="404040" w:themeColor="text1" w:themeTint="BF"/>
        </w:rPr>
        <w:t>(</w:t>
      </w:r>
      <w:r w:rsidRPr="00962C0C">
        <w:rPr>
          <w:rFonts w:cstheme="minorHAnsi"/>
          <w:b/>
          <w:color w:val="404040" w:themeColor="text1" w:themeTint="BF"/>
        </w:rPr>
        <w:t>Průměrné specifické emise výrobce</w:t>
      </w:r>
      <w:r>
        <w:rPr>
          <w:rFonts w:cstheme="minorHAnsi"/>
          <w:color w:val="404040" w:themeColor="text1" w:themeTint="BF"/>
        </w:rPr>
        <w:t xml:space="preserve">) - </w:t>
      </w:r>
      <w:r w:rsidRPr="005B2258">
        <w:rPr>
          <w:rFonts w:cstheme="minorHAnsi"/>
          <w:color w:val="404040" w:themeColor="text1" w:themeTint="BF"/>
        </w:rPr>
        <w:t>Komise každoročně stanoví a zveřejní průměrné specifické emise CO</w:t>
      </w:r>
      <w:r w:rsidRPr="005B2258">
        <w:rPr>
          <w:rFonts w:cstheme="minorHAnsi"/>
          <w:color w:val="404040" w:themeColor="text1" w:themeTint="BF"/>
          <w:vertAlign w:val="subscript"/>
        </w:rPr>
        <w:t>2</w:t>
      </w:r>
      <w:r w:rsidRPr="005B2258">
        <w:rPr>
          <w:rFonts w:cstheme="minorHAnsi"/>
          <w:color w:val="404040" w:themeColor="text1" w:themeTint="BF"/>
        </w:rPr>
        <w:t xml:space="preserve"> každého výrobce od roku 2019. Údaje použité jako základ pro výpočet jsou oznámeny dotčenými výrobci podle nařízení (EU) č. ... / 2018. Aby se zohlednila užitečnost a</w:t>
      </w:r>
      <w:r w:rsidR="001920D9">
        <w:rPr>
          <w:rFonts w:cstheme="minorHAnsi"/>
          <w:color w:val="404040" w:themeColor="text1" w:themeTint="BF"/>
        </w:rPr>
        <w:t> </w:t>
      </w:r>
      <w:r w:rsidRPr="005B2258">
        <w:rPr>
          <w:rFonts w:cstheme="minorHAnsi"/>
          <w:color w:val="404040" w:themeColor="text1" w:themeTint="BF"/>
        </w:rPr>
        <w:t>specifičnost vozidel, jednotliv</w:t>
      </w:r>
      <w:r w:rsidR="001920D9">
        <w:rPr>
          <w:rFonts w:cstheme="minorHAnsi"/>
          <w:color w:val="404040" w:themeColor="text1" w:themeTint="BF"/>
        </w:rPr>
        <w:t>á</w:t>
      </w:r>
      <w:r w:rsidRPr="005B2258">
        <w:rPr>
          <w:rFonts w:cstheme="minorHAnsi"/>
          <w:color w:val="404040" w:themeColor="text1" w:themeTint="BF"/>
        </w:rPr>
        <w:t xml:space="preserve"> těžk</w:t>
      </w:r>
      <w:r w:rsidR="001920D9">
        <w:rPr>
          <w:rFonts w:cstheme="minorHAnsi"/>
          <w:color w:val="404040" w:themeColor="text1" w:themeTint="BF"/>
        </w:rPr>
        <w:t>á užitková</w:t>
      </w:r>
      <w:r w:rsidRPr="005B2258">
        <w:rPr>
          <w:rFonts w:cstheme="minorHAnsi"/>
          <w:color w:val="404040" w:themeColor="text1" w:themeTint="BF"/>
        </w:rPr>
        <w:t xml:space="preserve"> voz</w:t>
      </w:r>
      <w:r w:rsidR="001920D9">
        <w:rPr>
          <w:rFonts w:cstheme="minorHAnsi"/>
          <w:color w:val="404040" w:themeColor="text1" w:themeTint="BF"/>
        </w:rPr>
        <w:t>idla HDV</w:t>
      </w:r>
      <w:r w:rsidRPr="005B2258">
        <w:rPr>
          <w:rFonts w:cstheme="minorHAnsi"/>
          <w:color w:val="404040" w:themeColor="text1" w:themeTint="BF"/>
        </w:rPr>
        <w:t xml:space="preserve"> jsou přiřazen</w:t>
      </w:r>
      <w:r w:rsidR="001920D9">
        <w:rPr>
          <w:rFonts w:cstheme="minorHAnsi"/>
          <w:color w:val="404040" w:themeColor="text1" w:themeTint="BF"/>
        </w:rPr>
        <w:t>a</w:t>
      </w:r>
      <w:r w:rsidRPr="005B2258">
        <w:rPr>
          <w:rFonts w:cstheme="minorHAnsi"/>
          <w:color w:val="404040" w:themeColor="text1" w:themeTint="BF"/>
        </w:rPr>
        <w:t xml:space="preserve"> různým podskupinám vozidel, kde se používají specifické váhy pro </w:t>
      </w:r>
      <w:r w:rsidR="007E76D5" w:rsidRPr="001920D9">
        <w:rPr>
          <w:rFonts w:cstheme="minorHAnsi"/>
          <w:b/>
          <w:color w:val="404040" w:themeColor="text1" w:themeTint="BF"/>
        </w:rPr>
        <w:t xml:space="preserve">různé </w:t>
      </w:r>
      <w:r w:rsidR="00181F48" w:rsidRPr="001920D9">
        <w:rPr>
          <w:rFonts w:cstheme="minorHAnsi"/>
          <w:b/>
          <w:color w:val="404040" w:themeColor="text1" w:themeTint="BF"/>
        </w:rPr>
        <w:t xml:space="preserve">jízdní </w:t>
      </w:r>
      <w:r w:rsidR="007E76D5" w:rsidRPr="001920D9">
        <w:rPr>
          <w:rFonts w:cstheme="minorHAnsi"/>
          <w:b/>
          <w:color w:val="404040" w:themeColor="text1" w:themeTint="BF"/>
        </w:rPr>
        <w:t>režimy</w:t>
      </w:r>
      <w:r w:rsidRPr="005B2258">
        <w:rPr>
          <w:rFonts w:cstheme="minorHAnsi"/>
          <w:color w:val="404040" w:themeColor="text1" w:themeTint="BF"/>
        </w:rPr>
        <w:t xml:space="preserve"> (tj. vzor</w:t>
      </w:r>
      <w:r w:rsidR="007E76D5">
        <w:rPr>
          <w:rFonts w:cstheme="minorHAnsi"/>
          <w:color w:val="404040" w:themeColor="text1" w:themeTint="BF"/>
        </w:rPr>
        <w:t xml:space="preserve">ové způsoby </w:t>
      </w:r>
      <w:r w:rsidRPr="005B2258">
        <w:rPr>
          <w:rFonts w:cstheme="minorHAnsi"/>
          <w:color w:val="404040" w:themeColor="text1" w:themeTint="BF"/>
        </w:rPr>
        <w:t xml:space="preserve">používání vozidel), užitečné zatížení a počet ujetých kilometrů ročně. Kromě toho je zohledněn podíl výrobce </w:t>
      </w:r>
      <w:r w:rsidRPr="005B2258">
        <w:rPr>
          <w:rFonts w:cstheme="minorHAnsi"/>
          <w:color w:val="404040" w:themeColor="text1" w:themeTint="BF"/>
        </w:rPr>
        <w:lastRenderedPageBreak/>
        <w:t>vozidel v</w:t>
      </w:r>
      <w:r>
        <w:rPr>
          <w:rFonts w:cstheme="minorHAnsi"/>
          <w:color w:val="404040" w:themeColor="text1" w:themeTint="BF"/>
        </w:rPr>
        <w:t> </w:t>
      </w:r>
      <w:r w:rsidRPr="005B2258">
        <w:rPr>
          <w:rFonts w:cstheme="minorHAnsi"/>
          <w:color w:val="404040" w:themeColor="text1" w:themeTint="BF"/>
        </w:rPr>
        <w:t xml:space="preserve">každé podskupině. </w:t>
      </w:r>
      <w:r w:rsidRPr="001920D9">
        <w:rPr>
          <w:rFonts w:cstheme="minorHAnsi"/>
          <w:b/>
          <w:color w:val="404040" w:themeColor="text1" w:themeTint="BF"/>
        </w:rPr>
        <w:t xml:space="preserve">Speciální </w:t>
      </w:r>
      <w:r w:rsidR="002D797B" w:rsidRPr="001920D9">
        <w:rPr>
          <w:rFonts w:cstheme="minorHAnsi"/>
          <w:b/>
          <w:color w:val="404040" w:themeColor="text1" w:themeTint="BF"/>
        </w:rPr>
        <w:t>užitkové</w:t>
      </w:r>
      <w:r w:rsidRPr="001920D9">
        <w:rPr>
          <w:rFonts w:cstheme="minorHAnsi"/>
          <w:b/>
          <w:color w:val="404040" w:themeColor="text1" w:themeTint="BF"/>
        </w:rPr>
        <w:t xml:space="preserve"> vozy kategorií N2 a N3</w:t>
      </w:r>
      <w:r w:rsidRPr="005B2258">
        <w:rPr>
          <w:rFonts w:cstheme="minorHAnsi"/>
          <w:color w:val="404040" w:themeColor="text1" w:themeTint="BF"/>
        </w:rPr>
        <w:t xml:space="preserve"> nejsou zahrnuty do výpočtu průměru</w:t>
      </w:r>
      <w:r w:rsidR="007E76D5">
        <w:rPr>
          <w:rFonts w:cstheme="minorHAnsi"/>
          <w:color w:val="404040" w:themeColor="text1" w:themeTint="BF"/>
        </w:rPr>
        <w:t xml:space="preserve"> specifických emisí</w:t>
      </w:r>
      <w:r w:rsidRPr="005B2258">
        <w:rPr>
          <w:rFonts w:cstheme="minorHAnsi"/>
          <w:color w:val="404040" w:themeColor="text1" w:themeTint="BF"/>
        </w:rPr>
        <w:t>. Vzorce pro výpočet jsou stanoveny v oddíle 2 přílohy I.</w:t>
      </w:r>
    </w:p>
    <w:p w:rsidR="005942E7" w:rsidRPr="001920D9" w:rsidRDefault="005942E7" w:rsidP="005942E7">
      <w:pPr>
        <w:spacing w:after="0"/>
        <w:jc w:val="both"/>
        <w:rPr>
          <w:rFonts w:cstheme="minorHAnsi"/>
          <w:color w:val="404040" w:themeColor="text1" w:themeTint="BF"/>
          <w:sz w:val="12"/>
        </w:rPr>
      </w:pPr>
    </w:p>
    <w:p w:rsidR="00830147" w:rsidRDefault="00830147" w:rsidP="00830147">
      <w:pPr>
        <w:spacing w:after="0"/>
        <w:jc w:val="both"/>
        <w:rPr>
          <w:noProof/>
          <w:color w:val="404040" w:themeColor="text1" w:themeTint="BF"/>
        </w:rPr>
      </w:pPr>
      <w:r w:rsidRPr="00DF0753">
        <w:rPr>
          <w:b/>
          <w:noProof/>
          <w:color w:val="404040" w:themeColor="text1" w:themeTint="BF"/>
        </w:rPr>
        <w:t>P</w:t>
      </w:r>
      <w:r w:rsidRPr="00345F20">
        <w:rPr>
          <w:b/>
          <w:noProof/>
          <w:color w:val="404040" w:themeColor="text1" w:themeTint="BF"/>
        </w:rPr>
        <w:t>říloha I (</w:t>
      </w:r>
      <w:hyperlink r:id="rId129" w:history="1">
        <w:r w:rsidRPr="000D1068">
          <w:rPr>
            <w:rStyle w:val="Hypertextovodkaz"/>
            <w:b/>
            <w:noProof/>
          </w:rPr>
          <w:t>zde</w:t>
        </w:r>
      </w:hyperlink>
      <w:r w:rsidRPr="00345F20">
        <w:rPr>
          <w:b/>
          <w:noProof/>
          <w:color w:val="404040" w:themeColor="text1" w:themeTint="BF"/>
        </w:rPr>
        <w:t xml:space="preserve">), </w:t>
      </w:r>
      <w:r>
        <w:rPr>
          <w:b/>
          <w:noProof/>
          <w:color w:val="404040" w:themeColor="text1" w:themeTint="BF"/>
        </w:rPr>
        <w:t>oddíl 2</w:t>
      </w:r>
    </w:p>
    <w:p w:rsidR="00830147" w:rsidRPr="009050A1" w:rsidRDefault="00830147" w:rsidP="00830147">
      <w:pPr>
        <w:spacing w:after="0"/>
        <w:jc w:val="both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 xml:space="preserve">2.2 </w:t>
      </w:r>
      <w:r w:rsidRPr="00720071">
        <w:rPr>
          <w:b/>
          <w:noProof/>
          <w:color w:val="404040" w:themeColor="text1" w:themeTint="BF"/>
        </w:rPr>
        <w:t xml:space="preserve">Průměrné specifické emise </w:t>
      </w:r>
      <w:r w:rsidRPr="00F960DD">
        <w:rPr>
          <w:rFonts w:cstheme="minorHAnsi"/>
          <w:b/>
          <w:color w:val="404040" w:themeColor="text1" w:themeTint="BF"/>
        </w:rPr>
        <w:t>CO</w:t>
      </w:r>
      <w:r w:rsidRPr="00F960DD">
        <w:rPr>
          <w:rFonts w:cstheme="minorHAnsi"/>
          <w:b/>
          <w:color w:val="404040" w:themeColor="text1" w:themeTint="BF"/>
          <w:vertAlign w:val="subscript"/>
        </w:rPr>
        <w:t>2</w:t>
      </w:r>
      <w:r w:rsidRPr="00720071">
        <w:rPr>
          <w:b/>
          <w:noProof/>
          <w:color w:val="404040" w:themeColor="text1" w:themeTint="BF"/>
        </w:rPr>
        <w:t xml:space="preserve"> všech nových těžkých užitkových vozidel </w:t>
      </w:r>
      <w:r w:rsidR="001920D9">
        <w:rPr>
          <w:b/>
          <w:noProof/>
          <w:color w:val="404040" w:themeColor="text1" w:themeTint="BF"/>
        </w:rPr>
        <w:t xml:space="preserve">HDV </w:t>
      </w:r>
      <w:r w:rsidRPr="00720071">
        <w:rPr>
          <w:b/>
          <w:noProof/>
          <w:color w:val="404040" w:themeColor="text1" w:themeTint="BF"/>
        </w:rPr>
        <w:t>v podskupině pro výrobce</w:t>
      </w: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6804"/>
      </w:tblGrid>
      <w:tr w:rsidR="00830147" w:rsidRPr="00DF0708" w:rsidTr="00DE223A">
        <w:tc>
          <w:tcPr>
            <w:tcW w:w="9606" w:type="dxa"/>
            <w:gridSpan w:val="3"/>
          </w:tcPr>
          <w:p w:rsidR="00830147" w:rsidRPr="00DD14C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</w:pPr>
            <w:r w:rsidRPr="00DD14C8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 xml:space="preserve">2.2 U každého výrobce a každého kalendářního roku se průměrné specifické emise </w:t>
            </w:r>
            <w:r w:rsidRPr="00DD14C8">
              <w:rPr>
                <w:rFonts w:cstheme="minorHAnsi"/>
                <w:color w:val="404040" w:themeColor="text1" w:themeTint="BF"/>
                <w:sz w:val="20"/>
              </w:rPr>
              <w:t>CO</w:t>
            </w:r>
            <w:r w:rsidRPr="00DD14C8">
              <w:rPr>
                <w:rFonts w:cstheme="minorHAnsi"/>
                <w:color w:val="404040" w:themeColor="text1" w:themeTint="BF"/>
                <w:sz w:val="20"/>
                <w:vertAlign w:val="subscript"/>
              </w:rPr>
              <w:t>2</w:t>
            </w:r>
            <w:r w:rsidRPr="00DD14C8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 xml:space="preserve"> v g/tkm (avgC02</w:t>
            </w:r>
            <w:r w:rsidRPr="00DD14C8">
              <w:rPr>
                <w:rFonts w:asciiTheme="minorHAnsi" w:hAnsiTheme="minorHAnsi" w:cstheme="minorHAnsi"/>
                <w:color w:val="404040" w:themeColor="text1" w:themeTint="BF"/>
                <w:sz w:val="20"/>
                <w:vertAlign w:val="subscript"/>
              </w:rPr>
              <w:t>sg</w:t>
            </w:r>
            <w:r w:rsidRPr="00DD14C8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 xml:space="preserve">) všech nových těžkých užitkových vozidel v podskupině </w:t>
            </w:r>
            <w:r w:rsidR="00DD14C8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>„</w:t>
            </w:r>
            <w:r w:rsidRPr="00DD14C8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>sg</w:t>
            </w:r>
            <w:r w:rsidR="00DD14C8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>“</w:t>
            </w:r>
            <w:r w:rsidRPr="00DD14C8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 xml:space="preserve"> vypočítají takto: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D12C91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12C91">
              <w:rPr>
                <w:rFonts w:ascii="Cambria Math" w:hAnsi="Cambria Math" w:cs="Cambria Math"/>
                <w:b/>
                <w:color w:val="404040" w:themeColor="text1" w:themeTint="BF"/>
                <w:szCs w:val="23"/>
              </w:rPr>
              <w:t>𝑎𝑣𝑔𝐶02</w:t>
            </w:r>
            <w:r w:rsidRPr="00D12C91">
              <w:rPr>
                <w:rFonts w:ascii="Cambria Math" w:hAnsi="Cambria Math" w:cs="Cambria Math"/>
                <w:b/>
                <w:color w:val="404040" w:themeColor="text1" w:themeTint="BF"/>
                <w:szCs w:val="17"/>
                <w:vertAlign w:val="subscript"/>
              </w:rPr>
              <w:t>𝑠𝑔</w:t>
            </w:r>
          </w:p>
        </w:tc>
        <w:tc>
          <w:tcPr>
            <w:tcW w:w="567" w:type="dxa"/>
          </w:tcPr>
          <w:p w:rsidR="00830147" w:rsidRPr="00D12C91" w:rsidRDefault="00830147" w:rsidP="00DE223A">
            <w:pPr>
              <w:jc w:val="center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12C91"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  <w:t>=</w:t>
            </w:r>
          </w:p>
        </w:tc>
        <w:tc>
          <w:tcPr>
            <w:tcW w:w="6804" w:type="dxa"/>
          </w:tcPr>
          <w:p w:rsidR="00830147" w:rsidRPr="00D12C91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12C91">
              <w:rPr>
                <w:rFonts w:asciiTheme="minorHAnsi" w:hAnsiTheme="minorHAnsi" w:cstheme="minorHAnsi"/>
                <w:noProof/>
                <w:color w:val="404040" w:themeColor="text1" w:themeTint="BF"/>
              </w:rPr>
              <w:t>(</w:t>
            </w:r>
            <w:r w:rsidRPr="00D12C91">
              <w:rPr>
                <w:b/>
                <w:color w:val="404040" w:themeColor="text1" w:themeTint="BF"/>
              </w:rPr>
              <w:t>Σ</w:t>
            </w:r>
            <w:r w:rsidRPr="00D12C91">
              <w:rPr>
                <w:b/>
                <w:color w:val="404040" w:themeColor="text1" w:themeTint="BF"/>
                <w:vertAlign w:val="subscript"/>
              </w:rPr>
              <w:t>v</w:t>
            </w:r>
            <w:r w:rsidRPr="00D12C91">
              <w:rPr>
                <w:rFonts w:ascii="Cambria Math" w:hAnsi="Cambria Math" w:cs="Cambria Math"/>
                <w:b/>
                <w:color w:val="404040" w:themeColor="text1" w:themeTint="BF"/>
              </w:rPr>
              <w:t>𝐶𝑂</w:t>
            </w:r>
            <w:r w:rsidRPr="00D12C91">
              <w:rPr>
                <w:b/>
                <w:color w:val="404040" w:themeColor="text1" w:themeTint="BF"/>
              </w:rPr>
              <w:t>2</w:t>
            </w:r>
            <w:r w:rsidRPr="00D12C91">
              <w:rPr>
                <w:rFonts w:ascii="Cambria Math" w:hAnsi="Cambria Math" w:cs="Cambria Math"/>
                <w:b/>
                <w:color w:val="404040" w:themeColor="text1" w:themeTint="BF"/>
                <w:vertAlign w:val="subscript"/>
              </w:rPr>
              <w:t>𝑣</w:t>
            </w:r>
            <w:r w:rsidRPr="00D12C91">
              <w:rPr>
                <w:rFonts w:ascii="Cambria Math" w:hAnsi="Cambria Math" w:cs="Cambria Math"/>
                <w:color w:val="404040" w:themeColor="text1" w:themeTint="BF"/>
              </w:rPr>
              <w:t>)</w:t>
            </w:r>
            <w:r w:rsidR="00D12C91" w:rsidRPr="00D12C91">
              <w:rPr>
                <w:rFonts w:ascii="Cambria Math" w:hAnsi="Cambria Math" w:cs="Cambria Math"/>
                <w:color w:val="404040" w:themeColor="text1" w:themeTint="BF"/>
              </w:rPr>
              <w:t xml:space="preserve"> </w:t>
            </w:r>
            <w:r w:rsidRPr="00D12C91">
              <w:rPr>
                <w:rFonts w:ascii="Cambria Math" w:hAnsi="Cambria Math" w:cs="Cambria Math"/>
                <w:color w:val="404040" w:themeColor="text1" w:themeTint="BF"/>
              </w:rPr>
              <w:t>/</w:t>
            </w:r>
            <w:r w:rsidR="00D12C91" w:rsidRPr="00D12C91">
              <w:rPr>
                <w:rFonts w:ascii="Cambria Math" w:hAnsi="Cambria Math" w:cs="Cambria Math"/>
                <w:color w:val="404040" w:themeColor="text1" w:themeTint="BF"/>
              </w:rPr>
              <w:t xml:space="preserve"> </w:t>
            </w:r>
            <w:r w:rsidRPr="00D12C91">
              <w:rPr>
                <w:rFonts w:ascii="Cambria Math" w:hAnsi="Cambria Math" w:cs="Cambria Math"/>
                <w:color w:val="404040" w:themeColor="text1" w:themeTint="BF"/>
              </w:rPr>
              <w:t>(</w:t>
            </w:r>
            <w:r w:rsidRPr="00D12C91">
              <w:rPr>
                <w:rFonts w:ascii="Cambria Math" w:hAnsi="Cambria Math" w:cs="Cambria Math"/>
                <w:b/>
                <w:color w:val="404040" w:themeColor="text1" w:themeTint="BF"/>
              </w:rPr>
              <w:t>𝑉</w:t>
            </w:r>
            <w:r w:rsidRPr="00D12C91">
              <w:rPr>
                <w:rFonts w:ascii="Cambria Math" w:hAnsi="Cambria Math" w:cs="Cambria Math"/>
                <w:b/>
                <w:color w:val="404040" w:themeColor="text1" w:themeTint="BF"/>
                <w:vertAlign w:val="subscript"/>
              </w:rPr>
              <w:t>𝑠𝑔</w:t>
            </w:r>
            <w:r w:rsidRPr="00D12C91">
              <w:rPr>
                <w:b/>
                <w:color w:val="404040" w:themeColor="text1" w:themeTint="BF"/>
              </w:rPr>
              <w:t xml:space="preserve"> </w:t>
            </w:r>
            <w:r w:rsidRPr="00D12C91">
              <w:rPr>
                <w:rFonts w:ascii="Cambria Math" w:hAnsi="Cambria Math"/>
                <w:noProof/>
                <w:color w:val="404040" w:themeColor="text1" w:themeTint="BF"/>
              </w:rPr>
              <w:t>×</w:t>
            </w:r>
            <w:r w:rsidRPr="00D12C91">
              <w:rPr>
                <w:color w:val="404040" w:themeColor="text1" w:themeTint="BF"/>
              </w:rPr>
              <w:t xml:space="preserve"> </w:t>
            </w:r>
            <w:r w:rsidRPr="00D12C91">
              <w:rPr>
                <w:rFonts w:ascii="Cambria Math" w:hAnsi="Cambria Math" w:cs="Cambria Math"/>
                <w:b/>
                <w:color w:val="404040" w:themeColor="text1" w:themeTint="BF"/>
              </w:rPr>
              <w:t>𝑃𝐿</w:t>
            </w:r>
            <w:r w:rsidRPr="00D12C91">
              <w:rPr>
                <w:rFonts w:ascii="Cambria Math" w:hAnsi="Cambria Math" w:cs="Cambria Math"/>
                <w:b/>
                <w:color w:val="404040" w:themeColor="text1" w:themeTint="BF"/>
                <w:vertAlign w:val="subscript"/>
              </w:rPr>
              <w:t>𝑠𝑔</w:t>
            </w:r>
            <w:r w:rsidRPr="00D12C91">
              <w:rPr>
                <w:rFonts w:ascii="Cambria Math" w:hAnsi="Cambria Math" w:cs="Cambria Math"/>
                <w:color w:val="404040" w:themeColor="text1" w:themeTint="BF"/>
              </w:rPr>
              <w:t>)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DD14C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kde</w:t>
            </w:r>
          </w:p>
        </w:tc>
        <w:tc>
          <w:tcPr>
            <w:tcW w:w="567" w:type="dxa"/>
          </w:tcPr>
          <w:p w:rsidR="00830147" w:rsidRPr="00DD14C8" w:rsidRDefault="00830147" w:rsidP="00DE223A">
            <w:pPr>
              <w:jc w:val="center"/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8"/>
              </w:rPr>
            </w:pPr>
          </w:p>
        </w:tc>
        <w:tc>
          <w:tcPr>
            <w:tcW w:w="6804" w:type="dxa"/>
          </w:tcPr>
          <w:p w:rsidR="00830147" w:rsidRPr="00DD14C8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8"/>
              </w:rPr>
            </w:pPr>
          </w:p>
        </w:tc>
      </w:tr>
      <w:tr w:rsidR="00830147" w:rsidRPr="00DF0708" w:rsidTr="00DE223A">
        <w:tc>
          <w:tcPr>
            <w:tcW w:w="2235" w:type="dxa"/>
          </w:tcPr>
          <w:p w:rsidR="00830147" w:rsidRPr="00DD14C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DD14C8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Σ</w:t>
            </w: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vertAlign w:val="subscript"/>
              </w:rPr>
              <w:t>v</w:t>
            </w:r>
          </w:p>
        </w:tc>
        <w:tc>
          <w:tcPr>
            <w:tcW w:w="567" w:type="dxa"/>
          </w:tcPr>
          <w:p w:rsidR="00830147" w:rsidRPr="00DD14C8" w:rsidRDefault="00830147" w:rsidP="00DE223A">
            <w:pPr>
              <w:jc w:val="center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DD14C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součet všech nových těžkých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užitkových</w:t>
            </w: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vozidel HDV výrobce v podskupině „sg“ s výjimkou všech speciálních</w:t>
            </w:r>
            <w:r w:rsidR="002D797B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užitkových</w:t>
            </w: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vozidel v souladu s čl. 4 písm. a)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DD14C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CO2</w:t>
            </w: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vertAlign w:val="subscript"/>
              </w:rPr>
              <w:t>v</w:t>
            </w:r>
          </w:p>
        </w:tc>
        <w:tc>
          <w:tcPr>
            <w:tcW w:w="567" w:type="dxa"/>
          </w:tcPr>
          <w:p w:rsidR="00830147" w:rsidRPr="00DD14C8" w:rsidRDefault="00830147" w:rsidP="00DE223A">
            <w:pPr>
              <w:jc w:val="center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DD14C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jsou specifické emise </w:t>
            </w:r>
            <w:r w:rsidRPr="00DD14C8">
              <w:rPr>
                <w:rFonts w:cstheme="minorHAnsi"/>
                <w:color w:val="404040" w:themeColor="text1" w:themeTint="BF"/>
                <w:sz w:val="18"/>
              </w:rPr>
              <w:t>CO</w:t>
            </w:r>
            <w:r w:rsidRPr="00DD14C8">
              <w:rPr>
                <w:rFonts w:cstheme="minorHAnsi"/>
                <w:color w:val="404040" w:themeColor="text1" w:themeTint="BF"/>
                <w:sz w:val="18"/>
                <w:vertAlign w:val="subscript"/>
              </w:rPr>
              <w:t>2</w:t>
            </w: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nového 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těžkého užitkového </w:t>
            </w: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vozidla 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HDV „</w:t>
            </w: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v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“</w:t>
            </w: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určené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ho</w:t>
            </w: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v souladu s bodem 2.1</w:t>
            </w:r>
          </w:p>
        </w:tc>
      </w:tr>
      <w:tr w:rsidR="00830147" w:rsidTr="00DE223A">
        <w:tc>
          <w:tcPr>
            <w:tcW w:w="2235" w:type="dxa"/>
          </w:tcPr>
          <w:p w:rsidR="00830147" w:rsidRPr="00DD14C8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DD14C8">
              <w:rPr>
                <w:noProof/>
                <w:color w:val="404040" w:themeColor="text1" w:themeTint="BF"/>
                <w:sz w:val="18"/>
              </w:rPr>
              <w:t>rV</w:t>
            </w:r>
            <w:r w:rsidRPr="00DD14C8">
              <w:rPr>
                <w:noProof/>
                <w:color w:val="404040" w:themeColor="text1" w:themeTint="BF"/>
                <w:sz w:val="18"/>
                <w:vertAlign w:val="subscript"/>
              </w:rPr>
              <w:t>sg</w:t>
            </w:r>
          </w:p>
        </w:tc>
        <w:tc>
          <w:tcPr>
            <w:tcW w:w="567" w:type="dxa"/>
          </w:tcPr>
          <w:p w:rsidR="00830147" w:rsidRPr="00DD14C8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</w:rPr>
            </w:pPr>
            <w:r w:rsidRPr="00DD14C8">
              <w:rPr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DD14C8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DD14C8">
              <w:rPr>
                <w:noProof/>
                <w:color w:val="404040" w:themeColor="text1" w:themeTint="BF"/>
                <w:sz w:val="18"/>
              </w:rPr>
              <w:t xml:space="preserve">počet nových těžkých </w:t>
            </w:r>
            <w:r w:rsidR="001920D9">
              <w:rPr>
                <w:noProof/>
                <w:color w:val="404040" w:themeColor="text1" w:themeTint="BF"/>
                <w:sz w:val="18"/>
              </w:rPr>
              <w:t xml:space="preserve">užitkových </w:t>
            </w:r>
            <w:r w:rsidRPr="00DD14C8">
              <w:rPr>
                <w:noProof/>
                <w:color w:val="404040" w:themeColor="text1" w:themeTint="BF"/>
                <w:sz w:val="18"/>
              </w:rPr>
              <w:t xml:space="preserve">vozidel HDV výrobce v podskupině „sg“ s výjimkou všech </w:t>
            </w:r>
            <w:r w:rsidRPr="00DD14C8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speciálních </w:t>
            </w:r>
            <w:r w:rsidR="002D797B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užitkových</w:t>
            </w:r>
            <w:r w:rsidRPr="00DD14C8">
              <w:rPr>
                <w:noProof/>
                <w:color w:val="404040" w:themeColor="text1" w:themeTint="BF"/>
                <w:sz w:val="18"/>
              </w:rPr>
              <w:t xml:space="preserve"> vozidel v souladu s čl. 4 písm. a)</w:t>
            </w:r>
          </w:p>
        </w:tc>
      </w:tr>
      <w:tr w:rsidR="00830147" w:rsidTr="00DE223A">
        <w:tc>
          <w:tcPr>
            <w:tcW w:w="2235" w:type="dxa"/>
          </w:tcPr>
          <w:p w:rsidR="00830147" w:rsidRPr="00DD14C8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DD14C8">
              <w:rPr>
                <w:noProof/>
                <w:color w:val="404040" w:themeColor="text1" w:themeTint="BF"/>
                <w:sz w:val="18"/>
              </w:rPr>
              <w:t>PL</w:t>
            </w:r>
            <w:r w:rsidRPr="00DD14C8">
              <w:rPr>
                <w:noProof/>
                <w:color w:val="404040" w:themeColor="text1" w:themeTint="BF"/>
                <w:sz w:val="18"/>
                <w:vertAlign w:val="subscript"/>
              </w:rPr>
              <w:t>sg</w:t>
            </w:r>
          </w:p>
        </w:tc>
        <w:tc>
          <w:tcPr>
            <w:tcW w:w="567" w:type="dxa"/>
          </w:tcPr>
          <w:p w:rsidR="00830147" w:rsidRPr="00DD14C8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</w:rPr>
            </w:pPr>
            <w:r w:rsidRPr="00DD14C8">
              <w:rPr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DD14C8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DD14C8">
              <w:rPr>
                <w:noProof/>
                <w:color w:val="404040" w:themeColor="text1" w:themeTint="BF"/>
                <w:sz w:val="18"/>
              </w:rPr>
              <w:t>průměrné užitečné zatížení vozidel v podskupině sg podle bodu 2.5</w:t>
            </w:r>
          </w:p>
        </w:tc>
      </w:tr>
    </w:tbl>
    <w:p w:rsidR="005942E7" w:rsidRDefault="005942E7" w:rsidP="005942E7">
      <w:pPr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B6003D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color w:val="404040" w:themeColor="text1" w:themeTint="BF"/>
        </w:rPr>
      </w:pPr>
      <w:r w:rsidRPr="00962C0C">
        <w:rPr>
          <w:rFonts w:cstheme="minorHAnsi"/>
          <w:color w:val="404040" w:themeColor="text1" w:themeTint="BF"/>
        </w:rPr>
        <w:t>Článek 5 (</w:t>
      </w:r>
      <w:r w:rsidRPr="00962C0C">
        <w:rPr>
          <w:rFonts w:cstheme="minorHAnsi"/>
          <w:b/>
          <w:color w:val="404040" w:themeColor="text1" w:themeTint="BF"/>
        </w:rPr>
        <w:t>Bezemisní a nízkoemisní těžká</w:t>
      </w:r>
      <w:r w:rsidR="001920D9">
        <w:rPr>
          <w:rFonts w:cstheme="minorHAnsi"/>
          <w:b/>
          <w:color w:val="404040" w:themeColor="text1" w:themeTint="BF"/>
        </w:rPr>
        <w:t xml:space="preserve"> užitková</w:t>
      </w:r>
      <w:r w:rsidRPr="00962C0C">
        <w:rPr>
          <w:rFonts w:cstheme="minorHAnsi"/>
          <w:b/>
          <w:color w:val="404040" w:themeColor="text1" w:themeTint="BF"/>
        </w:rPr>
        <w:t xml:space="preserve"> vozidla</w:t>
      </w:r>
      <w:r w:rsidR="001920D9">
        <w:rPr>
          <w:rFonts w:cstheme="minorHAnsi"/>
          <w:b/>
          <w:color w:val="404040" w:themeColor="text1" w:themeTint="BF"/>
        </w:rPr>
        <w:t xml:space="preserve"> HDV</w:t>
      </w:r>
      <w:r w:rsidRPr="00962C0C">
        <w:rPr>
          <w:rFonts w:cstheme="minorHAnsi"/>
          <w:color w:val="404040" w:themeColor="text1" w:themeTint="BF"/>
        </w:rPr>
        <w:t xml:space="preserve">) - Aby se podpořilo zavádění </w:t>
      </w:r>
      <w:r>
        <w:rPr>
          <w:rFonts w:cstheme="minorHAnsi"/>
          <w:color w:val="404040" w:themeColor="text1" w:themeTint="BF"/>
        </w:rPr>
        <w:t xml:space="preserve">nízkoemisních a bezemisních </w:t>
      </w:r>
      <w:r w:rsidRPr="00962C0C">
        <w:rPr>
          <w:rFonts w:cstheme="minorHAnsi"/>
          <w:color w:val="404040" w:themeColor="text1" w:themeTint="BF"/>
        </w:rPr>
        <w:t>těžkých</w:t>
      </w:r>
      <w:r w:rsidR="001920D9">
        <w:rPr>
          <w:rFonts w:cstheme="minorHAnsi"/>
          <w:color w:val="404040" w:themeColor="text1" w:themeTint="BF"/>
        </w:rPr>
        <w:t xml:space="preserve"> užitkových</w:t>
      </w:r>
      <w:r w:rsidRPr="00962C0C">
        <w:rPr>
          <w:rFonts w:cstheme="minorHAnsi"/>
          <w:color w:val="404040" w:themeColor="text1" w:themeTint="BF"/>
        </w:rPr>
        <w:t xml:space="preserve"> vozidel</w:t>
      </w:r>
      <w:r w:rsidR="001920D9">
        <w:rPr>
          <w:rFonts w:cstheme="minorHAnsi"/>
          <w:color w:val="404040" w:themeColor="text1" w:themeTint="BF"/>
        </w:rPr>
        <w:t xml:space="preserve"> HDV</w:t>
      </w:r>
      <w:r w:rsidRPr="00962C0C">
        <w:rPr>
          <w:rFonts w:cstheme="minorHAnsi"/>
          <w:color w:val="404040" w:themeColor="text1" w:themeTint="BF"/>
        </w:rPr>
        <w:t xml:space="preserve">, </w:t>
      </w:r>
      <w:r w:rsidRPr="00962C0C">
        <w:rPr>
          <w:rFonts w:cstheme="minorHAnsi"/>
          <w:b/>
          <w:color w:val="404040" w:themeColor="text1" w:themeTint="BF"/>
        </w:rPr>
        <w:t>budou tato vozidla započítána několikrát</w:t>
      </w:r>
      <w:r w:rsidRPr="00962C0C">
        <w:rPr>
          <w:rFonts w:cstheme="minorHAnsi"/>
          <w:color w:val="404040" w:themeColor="text1" w:themeTint="BF"/>
        </w:rPr>
        <w:t xml:space="preserve"> při stanovení průměrných specifických emisí výrobce. Výrobci takových vozidel budou z</w:t>
      </w:r>
      <w:r w:rsidR="001920D9">
        <w:rPr>
          <w:rFonts w:cstheme="minorHAnsi"/>
          <w:color w:val="404040" w:themeColor="text1" w:themeTint="BF"/>
        </w:rPr>
        <w:t> </w:t>
      </w:r>
      <w:r w:rsidRPr="00962C0C">
        <w:rPr>
          <w:rFonts w:cstheme="minorHAnsi"/>
          <w:color w:val="404040" w:themeColor="text1" w:themeTint="BF"/>
        </w:rPr>
        <w:t>těchto "</w:t>
      </w:r>
      <w:r w:rsidRPr="00962C0C">
        <w:rPr>
          <w:rFonts w:cstheme="minorHAnsi"/>
          <w:b/>
          <w:color w:val="404040" w:themeColor="text1" w:themeTint="BF"/>
        </w:rPr>
        <w:t>superkreditů</w:t>
      </w:r>
      <w:r w:rsidRPr="00962C0C">
        <w:rPr>
          <w:rFonts w:cstheme="minorHAnsi"/>
          <w:color w:val="404040" w:themeColor="text1" w:themeTint="BF"/>
        </w:rPr>
        <w:t>" profitovat za každé ZEV/LEV uváděné na trh na základě jiného násobícího faktoru podle emisí CO</w:t>
      </w:r>
      <w:r w:rsidRPr="00962C0C">
        <w:rPr>
          <w:rFonts w:cstheme="minorHAnsi"/>
          <w:color w:val="404040" w:themeColor="text1" w:themeTint="BF"/>
          <w:vertAlign w:val="subscript"/>
        </w:rPr>
        <w:t>2</w:t>
      </w:r>
      <w:r w:rsidRPr="00962C0C">
        <w:rPr>
          <w:rFonts w:cstheme="minorHAnsi"/>
          <w:color w:val="404040" w:themeColor="text1" w:themeTint="BF"/>
        </w:rPr>
        <w:t xml:space="preserve"> vozidla.</w:t>
      </w:r>
    </w:p>
    <w:p w:rsidR="005942E7" w:rsidRDefault="005942E7" w:rsidP="00B6003D">
      <w:pPr>
        <w:pStyle w:val="Odstavecseseznamem"/>
        <w:numPr>
          <w:ilvl w:val="1"/>
          <w:numId w:val="44"/>
        </w:numPr>
        <w:spacing w:after="0"/>
        <w:jc w:val="both"/>
        <w:rPr>
          <w:rFonts w:cstheme="minorHAnsi"/>
          <w:color w:val="404040" w:themeColor="text1" w:themeTint="BF"/>
        </w:rPr>
      </w:pPr>
      <w:r w:rsidRPr="00962C0C">
        <w:rPr>
          <w:rFonts w:cstheme="minorHAnsi"/>
          <w:color w:val="404040" w:themeColor="text1" w:themeTint="BF"/>
        </w:rPr>
        <w:t xml:space="preserve">Zvláštní pobídka je poskytována také pro </w:t>
      </w:r>
      <w:r w:rsidR="001920D9">
        <w:rPr>
          <w:rFonts w:cstheme="minorHAnsi"/>
          <w:color w:val="404040" w:themeColor="text1" w:themeTint="BF"/>
        </w:rPr>
        <w:t xml:space="preserve">HDV </w:t>
      </w:r>
      <w:r w:rsidRPr="00962C0C">
        <w:rPr>
          <w:rFonts w:cstheme="minorHAnsi"/>
          <w:color w:val="404040" w:themeColor="text1" w:themeTint="BF"/>
        </w:rPr>
        <w:t>těžká</w:t>
      </w:r>
      <w:r w:rsidR="001920D9">
        <w:rPr>
          <w:rFonts w:cstheme="minorHAnsi"/>
          <w:color w:val="404040" w:themeColor="text1" w:themeTint="BF"/>
        </w:rPr>
        <w:t xml:space="preserve"> užitková</w:t>
      </w:r>
      <w:r w:rsidRPr="00962C0C">
        <w:rPr>
          <w:rFonts w:cstheme="minorHAnsi"/>
          <w:color w:val="404040" w:themeColor="text1" w:themeTint="BF"/>
        </w:rPr>
        <w:t xml:space="preserve"> vozidla ZEV / LEV kategorie M2 (autobusy) a</w:t>
      </w:r>
      <w:r>
        <w:rPr>
          <w:rFonts w:cstheme="minorHAnsi"/>
          <w:color w:val="404040" w:themeColor="text1" w:themeTint="BF"/>
        </w:rPr>
        <w:t> </w:t>
      </w:r>
      <w:r w:rsidRPr="00962C0C">
        <w:rPr>
          <w:rFonts w:cstheme="minorHAnsi"/>
          <w:color w:val="404040" w:themeColor="text1" w:themeTint="BF"/>
        </w:rPr>
        <w:t xml:space="preserve">M3 (autokary), jakož i pro vozidla kategorie N (malé nákladní automobily), včetně speciálních </w:t>
      </w:r>
      <w:r w:rsidR="002D797B">
        <w:rPr>
          <w:rFonts w:cstheme="minorHAnsi"/>
          <w:color w:val="404040" w:themeColor="text1" w:themeTint="BF"/>
        </w:rPr>
        <w:t>užitkových</w:t>
      </w:r>
      <w:r w:rsidRPr="00962C0C">
        <w:rPr>
          <w:rFonts w:cstheme="minorHAnsi"/>
          <w:color w:val="404040" w:themeColor="text1" w:themeTint="BF"/>
        </w:rPr>
        <w:t xml:space="preserve"> vozidel s nulovými emisemi. T</w:t>
      </w:r>
      <w:r>
        <w:rPr>
          <w:rFonts w:cstheme="minorHAnsi"/>
          <w:color w:val="404040" w:themeColor="text1" w:themeTint="BF"/>
        </w:rPr>
        <w:t>a</w:t>
      </w:r>
      <w:r w:rsidRPr="00962C0C">
        <w:rPr>
          <w:rFonts w:cstheme="minorHAnsi"/>
          <w:color w:val="404040" w:themeColor="text1" w:themeTint="BF"/>
        </w:rPr>
        <w:t>to vozidl</w:t>
      </w:r>
      <w:r>
        <w:rPr>
          <w:rFonts w:cstheme="minorHAnsi"/>
          <w:color w:val="404040" w:themeColor="text1" w:themeTint="BF"/>
        </w:rPr>
        <w:t>a</w:t>
      </w:r>
      <w:r w:rsidRPr="00962C0C">
        <w:rPr>
          <w:rFonts w:cstheme="minorHAnsi"/>
          <w:color w:val="404040" w:themeColor="text1" w:themeTint="BF"/>
        </w:rPr>
        <w:t xml:space="preserve"> nepodléhají požadavkům na snížení emisí CO</w:t>
      </w:r>
      <w:r w:rsidRPr="00962C0C">
        <w:rPr>
          <w:rFonts w:cstheme="minorHAnsi"/>
          <w:color w:val="404040" w:themeColor="text1" w:themeTint="BF"/>
          <w:vertAlign w:val="subscript"/>
        </w:rPr>
        <w:t>2</w:t>
      </w:r>
      <w:r w:rsidRPr="00962C0C">
        <w:rPr>
          <w:rFonts w:cstheme="minorHAnsi"/>
          <w:color w:val="404040" w:themeColor="text1" w:themeTint="BF"/>
        </w:rPr>
        <w:t>, započítávají se však za účelem stanovení bezemisního a</w:t>
      </w:r>
      <w:r>
        <w:rPr>
          <w:rFonts w:cstheme="minorHAnsi"/>
          <w:color w:val="404040" w:themeColor="text1" w:themeTint="BF"/>
        </w:rPr>
        <w:t> </w:t>
      </w:r>
      <w:r w:rsidRPr="00962C0C">
        <w:rPr>
          <w:rFonts w:cstheme="minorHAnsi"/>
          <w:color w:val="404040" w:themeColor="text1" w:themeTint="BF"/>
        </w:rPr>
        <w:t>nízkoemisního faktoru.</w:t>
      </w:r>
    </w:p>
    <w:p w:rsidR="005942E7" w:rsidRDefault="005942E7" w:rsidP="00B6003D">
      <w:pPr>
        <w:pStyle w:val="Odstavecseseznamem"/>
        <w:numPr>
          <w:ilvl w:val="1"/>
          <w:numId w:val="44"/>
        </w:numPr>
        <w:spacing w:after="0"/>
        <w:jc w:val="both"/>
        <w:rPr>
          <w:rFonts w:cstheme="minorHAnsi"/>
          <w:color w:val="404040" w:themeColor="text1" w:themeTint="BF"/>
        </w:rPr>
      </w:pPr>
      <w:r w:rsidRPr="00962C0C">
        <w:rPr>
          <w:rFonts w:cstheme="minorHAnsi"/>
          <w:color w:val="404040" w:themeColor="text1" w:themeTint="BF"/>
        </w:rPr>
        <w:t xml:space="preserve">Nízkoemisní těžká </w:t>
      </w:r>
      <w:r w:rsidR="001920D9">
        <w:rPr>
          <w:rFonts w:cstheme="minorHAnsi"/>
          <w:color w:val="404040" w:themeColor="text1" w:themeTint="BF"/>
        </w:rPr>
        <w:t xml:space="preserve">užitková </w:t>
      </w:r>
      <w:r w:rsidRPr="00962C0C">
        <w:rPr>
          <w:rFonts w:cstheme="minorHAnsi"/>
          <w:color w:val="404040" w:themeColor="text1" w:themeTint="BF"/>
        </w:rPr>
        <w:t>vozidla</w:t>
      </w:r>
      <w:r w:rsidR="001920D9">
        <w:rPr>
          <w:rFonts w:cstheme="minorHAnsi"/>
          <w:color w:val="404040" w:themeColor="text1" w:themeTint="BF"/>
        </w:rPr>
        <w:t xml:space="preserve"> HDV</w:t>
      </w:r>
      <w:r w:rsidRPr="00962C0C">
        <w:rPr>
          <w:rFonts w:cstheme="minorHAnsi"/>
          <w:color w:val="404040" w:themeColor="text1" w:themeTint="BF"/>
        </w:rPr>
        <w:t xml:space="preserve"> představují vozidla se specifickými emisemi nižšími než </w:t>
      </w:r>
      <w:r w:rsidRPr="00962C0C">
        <w:rPr>
          <w:rFonts w:cstheme="minorHAnsi"/>
          <w:b/>
          <w:color w:val="404040" w:themeColor="text1" w:themeTint="BF"/>
        </w:rPr>
        <w:t>350 g CO</w:t>
      </w:r>
      <w:r w:rsidRPr="00962C0C">
        <w:rPr>
          <w:rFonts w:cstheme="minorHAnsi"/>
          <w:b/>
          <w:color w:val="404040" w:themeColor="text1" w:themeTint="BF"/>
          <w:vertAlign w:val="subscript"/>
        </w:rPr>
        <w:t>2</w:t>
      </w:r>
      <w:r w:rsidRPr="00962C0C">
        <w:rPr>
          <w:rFonts w:cstheme="minorHAnsi"/>
          <w:b/>
          <w:color w:val="404040" w:themeColor="text1" w:themeTint="BF"/>
        </w:rPr>
        <w:t>/km</w:t>
      </w:r>
      <w:r w:rsidRPr="00962C0C">
        <w:rPr>
          <w:rFonts w:cstheme="minorHAnsi"/>
          <w:color w:val="404040" w:themeColor="text1" w:themeTint="BF"/>
        </w:rPr>
        <w:t>, tj. méně než polovina průměru emisí vozového parku.</w:t>
      </w:r>
    </w:p>
    <w:p w:rsidR="005942E7" w:rsidRPr="00962C0C" w:rsidRDefault="005942E7" w:rsidP="00B6003D">
      <w:pPr>
        <w:pStyle w:val="Odstavecseseznamem"/>
        <w:numPr>
          <w:ilvl w:val="1"/>
          <w:numId w:val="44"/>
        </w:numPr>
        <w:spacing w:after="0"/>
        <w:jc w:val="both"/>
        <w:rPr>
          <w:rFonts w:cstheme="minorHAnsi"/>
          <w:color w:val="404040" w:themeColor="text1" w:themeTint="BF"/>
        </w:rPr>
      </w:pPr>
      <w:r w:rsidRPr="00962C0C">
        <w:rPr>
          <w:rFonts w:cstheme="minorHAnsi"/>
          <w:color w:val="404040" w:themeColor="text1" w:themeTint="BF"/>
        </w:rPr>
        <w:t>V zájmu zachování environmentální integrity cílů by mělo být snížení průměrných specifických emisí výrobců prostřednictvím stimulačního režimu limitováno. Vzory pro výpočet bezemisního a nízkoemisního faktoru jsou stanoveny v bodě 2.3 přílohy I.</w:t>
      </w:r>
    </w:p>
    <w:p w:rsidR="005942E7" w:rsidRPr="00D374F8" w:rsidRDefault="001920D9" w:rsidP="001920D9">
      <w:pPr>
        <w:tabs>
          <w:tab w:val="left" w:pos="2256"/>
        </w:tabs>
        <w:spacing w:after="0"/>
        <w:jc w:val="both"/>
        <w:rPr>
          <w:rFonts w:cstheme="minorHAnsi"/>
          <w:color w:val="404040" w:themeColor="text1" w:themeTint="BF"/>
          <w:sz w:val="12"/>
        </w:rPr>
      </w:pPr>
      <w:r>
        <w:rPr>
          <w:rFonts w:cstheme="minorHAnsi"/>
          <w:color w:val="404040" w:themeColor="text1" w:themeTint="BF"/>
          <w:sz w:val="18"/>
        </w:rPr>
        <w:tab/>
      </w:r>
    </w:p>
    <w:p w:rsidR="00830147" w:rsidRDefault="00830147" w:rsidP="00830147">
      <w:pPr>
        <w:spacing w:after="0"/>
        <w:jc w:val="both"/>
        <w:rPr>
          <w:noProof/>
          <w:color w:val="404040" w:themeColor="text1" w:themeTint="BF"/>
        </w:rPr>
      </w:pPr>
      <w:r w:rsidRPr="00DF0753">
        <w:rPr>
          <w:b/>
          <w:noProof/>
          <w:color w:val="404040" w:themeColor="text1" w:themeTint="BF"/>
        </w:rPr>
        <w:t>P</w:t>
      </w:r>
      <w:r w:rsidRPr="00345F20">
        <w:rPr>
          <w:b/>
          <w:noProof/>
          <w:color w:val="404040" w:themeColor="text1" w:themeTint="BF"/>
        </w:rPr>
        <w:t>říloha I (</w:t>
      </w:r>
      <w:hyperlink r:id="rId130" w:history="1">
        <w:r w:rsidRPr="00345F20">
          <w:rPr>
            <w:rStyle w:val="Hypertextovodkaz"/>
            <w:b/>
            <w:noProof/>
          </w:rPr>
          <w:t>zde</w:t>
        </w:r>
      </w:hyperlink>
      <w:r w:rsidRPr="00345F20">
        <w:rPr>
          <w:b/>
          <w:noProof/>
          <w:color w:val="404040" w:themeColor="text1" w:themeTint="BF"/>
        </w:rPr>
        <w:t xml:space="preserve">), </w:t>
      </w:r>
      <w:r>
        <w:rPr>
          <w:b/>
          <w:noProof/>
          <w:color w:val="404040" w:themeColor="text1" w:themeTint="BF"/>
        </w:rPr>
        <w:t>oddíl 2</w:t>
      </w:r>
    </w:p>
    <w:p w:rsidR="00830147" w:rsidRPr="009050A1" w:rsidRDefault="00830147" w:rsidP="00830147">
      <w:pPr>
        <w:spacing w:after="0"/>
        <w:jc w:val="both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 xml:space="preserve">2.3 </w:t>
      </w:r>
      <w:r w:rsidRPr="008D71A2">
        <w:rPr>
          <w:b/>
          <w:noProof/>
          <w:color w:val="404040" w:themeColor="text1" w:themeTint="BF"/>
        </w:rPr>
        <w:t xml:space="preserve">Výpočet </w:t>
      </w:r>
      <w:r>
        <w:rPr>
          <w:b/>
          <w:noProof/>
          <w:color w:val="404040" w:themeColor="text1" w:themeTint="BF"/>
        </w:rPr>
        <w:t xml:space="preserve">bezemisního a nízkoemisního </w:t>
      </w:r>
      <w:r w:rsidRPr="008D71A2">
        <w:rPr>
          <w:b/>
          <w:noProof/>
          <w:color w:val="404040" w:themeColor="text1" w:themeTint="BF"/>
        </w:rPr>
        <w:t>faktoru</w:t>
      </w:r>
      <w:r>
        <w:rPr>
          <w:b/>
          <w:noProof/>
          <w:color w:val="404040" w:themeColor="text1" w:themeTint="BF"/>
        </w:rPr>
        <w:t xml:space="preserve"> </w:t>
      </w:r>
      <w:r w:rsidRPr="008D71A2">
        <w:rPr>
          <w:b/>
          <w:noProof/>
          <w:color w:val="404040" w:themeColor="text1" w:themeTint="BF"/>
        </w:rPr>
        <w:t>uveden</w:t>
      </w:r>
      <w:r>
        <w:rPr>
          <w:b/>
          <w:noProof/>
          <w:color w:val="404040" w:themeColor="text1" w:themeTint="BF"/>
        </w:rPr>
        <w:t>ých</w:t>
      </w:r>
      <w:r w:rsidRPr="008D71A2">
        <w:rPr>
          <w:b/>
          <w:noProof/>
          <w:color w:val="404040" w:themeColor="text1" w:themeTint="BF"/>
        </w:rPr>
        <w:t xml:space="preserve"> v článku 5</w:t>
      </w: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6804"/>
      </w:tblGrid>
      <w:tr w:rsidR="00830147" w:rsidRPr="00DF0708" w:rsidTr="00DE223A">
        <w:tc>
          <w:tcPr>
            <w:tcW w:w="9606" w:type="dxa"/>
            <w:gridSpan w:val="3"/>
          </w:tcPr>
          <w:p w:rsidR="00830147" w:rsidRPr="00DD14C8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20"/>
              </w:rPr>
            </w:pPr>
            <w:r w:rsidRPr="00DD14C8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 xml:space="preserve">2.3 Pro každého výrobce a kalendářní rok se </w:t>
            </w:r>
            <w:r w:rsidRPr="00DD14C8">
              <w:rPr>
                <w:noProof/>
                <w:color w:val="404040" w:themeColor="text1" w:themeTint="BF"/>
                <w:sz w:val="20"/>
              </w:rPr>
              <w:t>bezemisní a nízkoemisní faktor</w:t>
            </w:r>
            <w:r w:rsidRPr="00DD14C8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 xml:space="preserve"> (ZLEV) uvedený v článku 5 vypočte takto: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D12C91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12C91">
              <w:rPr>
                <w:rFonts w:asciiTheme="minorHAnsi" w:hAnsiTheme="minorHAnsi" w:cs="Cambria Math"/>
                <w:b/>
                <w:color w:val="404040" w:themeColor="text1" w:themeTint="BF"/>
              </w:rPr>
              <w:t>ZLEV</w:t>
            </w:r>
          </w:p>
        </w:tc>
        <w:tc>
          <w:tcPr>
            <w:tcW w:w="567" w:type="dxa"/>
          </w:tcPr>
          <w:p w:rsidR="00830147" w:rsidRPr="00D12C91" w:rsidRDefault="00830147" w:rsidP="00DE223A">
            <w:pPr>
              <w:jc w:val="center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12C91"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  <w:t>=</w:t>
            </w:r>
          </w:p>
        </w:tc>
        <w:tc>
          <w:tcPr>
            <w:tcW w:w="6804" w:type="dxa"/>
          </w:tcPr>
          <w:p w:rsidR="00830147" w:rsidRPr="00D12C91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12C91">
              <w:rPr>
                <w:b/>
                <w:iCs/>
                <w:color w:val="404040" w:themeColor="text1" w:themeTint="BF"/>
              </w:rPr>
              <w:t xml:space="preserve">V </w:t>
            </w:r>
            <w:r w:rsidRPr="00D12C91">
              <w:rPr>
                <w:iCs/>
                <w:color w:val="404040" w:themeColor="text1" w:themeTint="BF"/>
              </w:rPr>
              <w:t>/ (</w:t>
            </w:r>
            <w:r w:rsidRPr="00D12C91">
              <w:rPr>
                <w:b/>
                <w:iCs/>
                <w:color w:val="404040" w:themeColor="text1" w:themeTint="BF"/>
              </w:rPr>
              <w:t xml:space="preserve">Vconv </w:t>
            </w:r>
            <w:r w:rsidRPr="00D12C91">
              <w:rPr>
                <w:iCs/>
                <w:color w:val="404040" w:themeColor="text1" w:themeTint="BF"/>
              </w:rPr>
              <w:t>+</w:t>
            </w:r>
            <w:r w:rsidRPr="00D12C91">
              <w:rPr>
                <w:b/>
                <w:iCs/>
                <w:color w:val="404040" w:themeColor="text1" w:themeTint="BF"/>
              </w:rPr>
              <w:t xml:space="preserve"> Vzlev</w:t>
            </w:r>
            <w:r w:rsidRPr="00D12C91">
              <w:rPr>
                <w:iCs/>
                <w:color w:val="404040" w:themeColor="text1" w:themeTint="BF"/>
              </w:rPr>
              <w:t>)</w:t>
            </w:r>
            <w:r w:rsidRPr="00D12C91">
              <w:rPr>
                <w:b/>
                <w:iCs/>
                <w:color w:val="404040" w:themeColor="text1" w:themeTint="BF"/>
              </w:rPr>
              <w:tab/>
            </w:r>
            <w:r w:rsidRPr="00D12C91">
              <w:rPr>
                <w:b/>
                <w:iCs/>
                <w:color w:val="404040" w:themeColor="text1" w:themeTint="BF"/>
              </w:rPr>
              <w:tab/>
              <w:t>s minimem stanoveným na 0,97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962C0C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962C0C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kde</w:t>
            </w:r>
          </w:p>
        </w:tc>
        <w:tc>
          <w:tcPr>
            <w:tcW w:w="567" w:type="dxa"/>
          </w:tcPr>
          <w:p w:rsidR="00830147" w:rsidRPr="00962C0C" w:rsidRDefault="00830147" w:rsidP="00DE223A">
            <w:pPr>
              <w:jc w:val="center"/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8"/>
              </w:rPr>
            </w:pPr>
          </w:p>
        </w:tc>
        <w:tc>
          <w:tcPr>
            <w:tcW w:w="6804" w:type="dxa"/>
          </w:tcPr>
          <w:p w:rsidR="00830147" w:rsidRPr="00962C0C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8"/>
              </w:rPr>
            </w:pPr>
          </w:p>
        </w:tc>
      </w:tr>
      <w:tr w:rsidR="00830147" w:rsidRPr="00DF0708" w:rsidTr="00DE223A">
        <w:tc>
          <w:tcPr>
            <w:tcW w:w="2235" w:type="dxa"/>
          </w:tcPr>
          <w:p w:rsidR="00830147" w:rsidRPr="00962C0C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962C0C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V</w:t>
            </w:r>
          </w:p>
        </w:tc>
        <w:tc>
          <w:tcPr>
            <w:tcW w:w="567" w:type="dxa"/>
          </w:tcPr>
          <w:p w:rsidR="00830147" w:rsidRPr="00962C0C" w:rsidRDefault="00830147" w:rsidP="00DE223A">
            <w:pPr>
              <w:jc w:val="center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962C0C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962C0C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962C0C">
              <w:rPr>
                <w:color w:val="404040" w:themeColor="text1" w:themeTint="BF"/>
                <w:sz w:val="18"/>
              </w:rPr>
              <w:t xml:space="preserve">počet nových těžkých </w:t>
            </w:r>
            <w:r w:rsidR="001920D9">
              <w:rPr>
                <w:color w:val="404040" w:themeColor="text1" w:themeTint="BF"/>
                <w:sz w:val="18"/>
              </w:rPr>
              <w:t xml:space="preserve">užitkových </w:t>
            </w:r>
            <w:r w:rsidRPr="00962C0C">
              <w:rPr>
                <w:color w:val="404040" w:themeColor="text1" w:themeTint="BF"/>
                <w:sz w:val="18"/>
              </w:rPr>
              <w:t xml:space="preserve">vozidel HDV výrobce, s výjimkou všech </w:t>
            </w:r>
            <w:r w:rsidRPr="00962C0C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speciálních </w:t>
            </w:r>
            <w:r w:rsidR="002D797B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užitkových</w:t>
            </w:r>
            <w:r w:rsidRPr="00962C0C">
              <w:rPr>
                <w:noProof/>
                <w:color w:val="404040" w:themeColor="text1" w:themeTint="BF"/>
                <w:sz w:val="18"/>
              </w:rPr>
              <w:t xml:space="preserve"> vozidel v</w:t>
            </w:r>
            <w:r w:rsidRPr="00962C0C">
              <w:rPr>
                <w:color w:val="404040" w:themeColor="text1" w:themeTint="BF"/>
                <w:sz w:val="18"/>
              </w:rPr>
              <w:t xml:space="preserve"> souladu s čl. 4 písm. a)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962C0C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962C0C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Vconv</w:t>
            </w:r>
          </w:p>
        </w:tc>
        <w:tc>
          <w:tcPr>
            <w:tcW w:w="567" w:type="dxa"/>
          </w:tcPr>
          <w:p w:rsidR="00830147" w:rsidRPr="00962C0C" w:rsidRDefault="00830147" w:rsidP="00DE223A">
            <w:pPr>
              <w:jc w:val="center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962C0C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962C0C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</w:pPr>
            <w:r w:rsidRPr="00962C0C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počet nových těžkých 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už</w:t>
            </w:r>
            <w:r w:rsidR="00F57C6E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i</w:t>
            </w:r>
            <w:r w:rsidR="001920D9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tkových </w:t>
            </w:r>
            <w:r w:rsidRPr="00962C0C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vozidel HDV výrobce s výjimkou všech speciálních </w:t>
            </w:r>
            <w:r w:rsidR="002D797B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užitkových</w:t>
            </w:r>
            <w:r w:rsidRPr="00962C0C">
              <w:rPr>
                <w:noProof/>
                <w:color w:val="404040" w:themeColor="text1" w:themeTint="BF"/>
                <w:sz w:val="18"/>
              </w:rPr>
              <w:t xml:space="preserve"> vozidel</w:t>
            </w:r>
            <w:r w:rsidRPr="00962C0C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 xml:space="preserve"> v souladu s čl. 4 písm. a) a s výjimkou </w:t>
            </w:r>
            <w:r w:rsidRPr="00962C0C">
              <w:rPr>
                <w:noProof/>
                <w:color w:val="404040" w:themeColor="text1" w:themeTint="BF"/>
                <w:sz w:val="18"/>
              </w:rPr>
              <w:t xml:space="preserve">bezemisních a nízkoemisních </w:t>
            </w:r>
            <w:r w:rsidRPr="00962C0C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t>těžkých vozidel HDV</w:t>
            </w:r>
          </w:p>
        </w:tc>
      </w:tr>
      <w:tr w:rsidR="00830147" w:rsidTr="00DE223A">
        <w:tc>
          <w:tcPr>
            <w:tcW w:w="2235" w:type="dxa"/>
          </w:tcPr>
          <w:p w:rsidR="00830147" w:rsidRPr="00962C0C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>Vzlev</w:t>
            </w:r>
          </w:p>
        </w:tc>
        <w:tc>
          <w:tcPr>
            <w:tcW w:w="567" w:type="dxa"/>
          </w:tcPr>
          <w:p w:rsidR="00830147" w:rsidRPr="00962C0C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962C0C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>součin Vin a Vout</w:t>
            </w:r>
          </w:p>
        </w:tc>
      </w:tr>
      <w:tr w:rsidR="00830147" w:rsidTr="00DE223A">
        <w:tc>
          <w:tcPr>
            <w:tcW w:w="2235" w:type="dxa"/>
          </w:tcPr>
          <w:p w:rsidR="00830147" w:rsidRPr="00962C0C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>Vin</w:t>
            </w:r>
          </w:p>
        </w:tc>
        <w:tc>
          <w:tcPr>
            <w:tcW w:w="567" w:type="dxa"/>
          </w:tcPr>
          <w:p w:rsidR="00830147" w:rsidRPr="00962C0C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962C0C" w:rsidRDefault="00316E66" w:rsidP="00DE223A">
            <w:pPr>
              <w:jc w:val="both"/>
              <w:rPr>
                <w:rFonts w:ascii="Cambria Math" w:hAnsi="Cambria Math"/>
                <w:noProof/>
                <w:color w:val="404040" w:themeColor="text1" w:themeTint="BF"/>
                <w:sz w:val="18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noProof/>
                      <w:color w:val="404040" w:themeColor="text1" w:themeTint="BF"/>
                      <w:sz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color w:val="404040" w:themeColor="text1" w:themeTint="BF"/>
                      <w:sz w:val="18"/>
                    </w:rPr>
                    <m:t>v</m:t>
                  </m:r>
                </m:sub>
                <m:sup/>
                <m:e/>
              </m:nary>
            </m:oMath>
            <w:r w:rsidR="00830147" w:rsidRPr="00962C0C">
              <w:rPr>
                <w:rFonts w:ascii="Cambria Math" w:hAnsi="Cambria Math"/>
                <w:noProof/>
                <w:color w:val="404040" w:themeColor="text1" w:themeTint="BF"/>
                <w:sz w:val="18"/>
              </w:rPr>
              <w:t xml:space="preserve"> </w:t>
            </w:r>
            <w:r w:rsidR="00830147" w:rsidRPr="00962C0C">
              <w:rPr>
                <w:rFonts w:ascii="Cambria Math" w:hAnsi="Cambria Math"/>
                <w:i/>
                <w:noProof/>
                <w:color w:val="404040" w:themeColor="text1" w:themeTint="BF"/>
                <w:sz w:val="18"/>
              </w:rPr>
              <w:t xml:space="preserve">1 </w:t>
            </w:r>
            <w:r w:rsidR="00830147" w:rsidRPr="00962C0C">
              <w:rPr>
                <w:rFonts w:ascii="Cambria Math" w:hAnsi="Cambria Math"/>
                <w:noProof/>
                <w:color w:val="404040" w:themeColor="text1" w:themeTint="BF"/>
                <w:sz w:val="18"/>
              </w:rPr>
              <w:t>×</w:t>
            </w:r>
            <w:r w:rsidR="00830147" w:rsidRPr="00962C0C">
              <w:rPr>
                <w:rFonts w:ascii="Cambria Math" w:hAnsi="Cambria Math"/>
                <w:i/>
                <w:noProof/>
                <w:color w:val="404040" w:themeColor="text1" w:themeTint="BF"/>
                <w:sz w:val="18"/>
              </w:rPr>
              <w:t xml:space="preserve"> (1 – CO2</w:t>
            </w:r>
            <w:r w:rsidR="00830147" w:rsidRPr="00962C0C">
              <w:rPr>
                <w:rFonts w:ascii="Cambria Math" w:hAnsi="Cambria Math"/>
                <w:i/>
                <w:noProof/>
                <w:color w:val="404040" w:themeColor="text1" w:themeTint="BF"/>
                <w:sz w:val="18"/>
                <w:vertAlign w:val="subscript"/>
              </w:rPr>
              <w:t xml:space="preserve">v </w:t>
            </w:r>
            <w:r w:rsidR="00830147" w:rsidRPr="00962C0C">
              <w:rPr>
                <w:rFonts w:ascii="Cambria Math" w:hAnsi="Cambria Math"/>
                <w:noProof/>
                <w:color w:val="404040" w:themeColor="text1" w:themeTint="BF"/>
                <w:sz w:val="18"/>
              </w:rPr>
              <w:t>/</w:t>
            </w:r>
            <w:r w:rsidR="00830147" w:rsidRPr="00962C0C">
              <w:rPr>
                <w:rFonts w:ascii="Cambria Math" w:hAnsi="Cambria Math"/>
                <w:i/>
                <w:noProof/>
                <w:color w:val="404040" w:themeColor="text1" w:themeTint="BF"/>
                <w:sz w:val="18"/>
              </w:rPr>
              <w:t>350</w:t>
            </w:r>
            <w:r w:rsidR="00830147" w:rsidRPr="00962C0C">
              <w:rPr>
                <w:rFonts w:ascii="Cambria Math" w:hAnsi="Cambria Math"/>
                <w:noProof/>
                <w:color w:val="404040" w:themeColor="text1" w:themeTint="BF"/>
                <w:sz w:val="18"/>
              </w:rPr>
              <w:t xml:space="preserve">) </w:t>
            </w:r>
          </w:p>
          <w:p w:rsidR="00830147" w:rsidRPr="00962C0C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 xml:space="preserve">přičemž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noProof/>
                      <w:color w:val="404040" w:themeColor="text1" w:themeTint="BF"/>
                      <w:sz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  <w:color w:val="404040" w:themeColor="text1" w:themeTint="BF"/>
                      <w:sz w:val="18"/>
                    </w:rPr>
                    <m:t>v</m:t>
                  </m:r>
                </m:sub>
                <m:sup/>
                <m:e/>
              </m:nary>
            </m:oMath>
            <w:r w:rsidRPr="00962C0C">
              <w:rPr>
                <w:noProof/>
                <w:color w:val="404040" w:themeColor="text1" w:themeTint="BF"/>
                <w:sz w:val="18"/>
              </w:rPr>
              <w:t xml:space="preserve"> je součtem všech nových bezemisních a nízkoemisních těžkých </w:t>
            </w:r>
            <w:r w:rsidR="00F57C6E">
              <w:rPr>
                <w:noProof/>
                <w:color w:val="404040" w:themeColor="text1" w:themeTint="BF"/>
                <w:sz w:val="18"/>
              </w:rPr>
              <w:t xml:space="preserve">užitkových </w:t>
            </w:r>
            <w:r w:rsidRPr="00962C0C">
              <w:rPr>
                <w:noProof/>
                <w:color w:val="404040" w:themeColor="text1" w:themeTint="BF"/>
                <w:sz w:val="18"/>
              </w:rPr>
              <w:t>vozidel HDV s charakteristikami stanovenými v čl. 2 odst. 1 písm. a) až d)</w:t>
            </w:r>
          </w:p>
        </w:tc>
      </w:tr>
      <w:tr w:rsidR="00830147" w:rsidTr="00DE223A">
        <w:tc>
          <w:tcPr>
            <w:tcW w:w="2235" w:type="dxa"/>
          </w:tcPr>
          <w:p w:rsidR="00830147" w:rsidRPr="00962C0C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>CO2</w:t>
            </w:r>
            <w:r w:rsidRPr="00962C0C">
              <w:rPr>
                <w:noProof/>
                <w:color w:val="404040" w:themeColor="text1" w:themeTint="BF"/>
                <w:sz w:val="18"/>
                <w:vertAlign w:val="subscript"/>
              </w:rPr>
              <w:t>v</w:t>
            </w:r>
          </w:p>
        </w:tc>
        <w:tc>
          <w:tcPr>
            <w:tcW w:w="567" w:type="dxa"/>
          </w:tcPr>
          <w:p w:rsidR="00830147" w:rsidRPr="00962C0C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962C0C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 xml:space="preserve">specifické emise </w:t>
            </w:r>
            <w:r w:rsidRPr="00962C0C">
              <w:rPr>
                <w:rFonts w:cstheme="minorHAnsi"/>
                <w:color w:val="404040" w:themeColor="text1" w:themeTint="BF"/>
                <w:sz w:val="18"/>
              </w:rPr>
              <w:t>CO</w:t>
            </w:r>
            <w:r w:rsidRPr="00962C0C">
              <w:rPr>
                <w:rFonts w:cstheme="minorHAnsi"/>
                <w:color w:val="404040" w:themeColor="text1" w:themeTint="BF"/>
                <w:sz w:val="18"/>
                <w:vertAlign w:val="subscript"/>
              </w:rPr>
              <w:t>2</w:t>
            </w:r>
            <w:r w:rsidRPr="00962C0C">
              <w:rPr>
                <w:noProof/>
                <w:color w:val="404040" w:themeColor="text1" w:themeTint="BF"/>
                <w:sz w:val="18"/>
              </w:rPr>
              <w:t xml:space="preserve"> v g/km bezemisních a nízkoemisních těžkých</w:t>
            </w:r>
            <w:r w:rsidR="00F57C6E">
              <w:rPr>
                <w:noProof/>
                <w:color w:val="404040" w:themeColor="text1" w:themeTint="BF"/>
                <w:sz w:val="18"/>
              </w:rPr>
              <w:t xml:space="preserve"> užitkových vozidel</w:t>
            </w:r>
            <w:r w:rsidRPr="00962C0C">
              <w:rPr>
                <w:noProof/>
                <w:color w:val="404040" w:themeColor="text1" w:themeTint="BF"/>
                <w:sz w:val="18"/>
              </w:rPr>
              <w:t xml:space="preserve"> HDV vozidel  „v“, určené v souladu s bodem 2.1</w:t>
            </w:r>
          </w:p>
        </w:tc>
      </w:tr>
      <w:tr w:rsidR="00830147" w:rsidTr="00DE223A">
        <w:tc>
          <w:tcPr>
            <w:tcW w:w="2235" w:type="dxa"/>
          </w:tcPr>
          <w:p w:rsidR="00830147" w:rsidRPr="00962C0C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lastRenderedPageBreak/>
              <w:t>Vout</w:t>
            </w:r>
          </w:p>
        </w:tc>
        <w:tc>
          <w:tcPr>
            <w:tcW w:w="567" w:type="dxa"/>
          </w:tcPr>
          <w:p w:rsidR="00830147" w:rsidRPr="00962C0C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>=</w:t>
            </w:r>
          </w:p>
        </w:tc>
        <w:tc>
          <w:tcPr>
            <w:tcW w:w="6804" w:type="dxa"/>
          </w:tcPr>
          <w:p w:rsidR="00830147" w:rsidRPr="00962C0C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</w:rPr>
            </w:pPr>
            <w:r w:rsidRPr="00962C0C">
              <w:rPr>
                <w:noProof/>
                <w:color w:val="404040" w:themeColor="text1" w:themeTint="BF"/>
                <w:sz w:val="18"/>
              </w:rPr>
              <w:t xml:space="preserve">celkový počet bezemisních těžkých </w:t>
            </w:r>
            <w:r w:rsidR="00F57C6E">
              <w:rPr>
                <w:noProof/>
                <w:color w:val="404040" w:themeColor="text1" w:themeTint="BF"/>
                <w:sz w:val="18"/>
              </w:rPr>
              <w:t xml:space="preserve">užitkových </w:t>
            </w:r>
            <w:r w:rsidRPr="00962C0C">
              <w:rPr>
                <w:noProof/>
                <w:color w:val="404040" w:themeColor="text1" w:themeTint="BF"/>
                <w:sz w:val="18"/>
              </w:rPr>
              <w:t>vozidel HDV z kategorií uvedených v čl. 2 odst. 1, vynásobený dvěma, a s maximální hodnotou 1,5 % Vconv</w:t>
            </w:r>
          </w:p>
        </w:tc>
      </w:tr>
    </w:tbl>
    <w:p w:rsidR="005942E7" w:rsidRDefault="005942E7" w:rsidP="005942E7">
      <w:pPr>
        <w:tabs>
          <w:tab w:val="left" w:pos="2400"/>
        </w:tabs>
        <w:spacing w:after="0"/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ab/>
      </w:r>
    </w:p>
    <w:p w:rsidR="005942E7" w:rsidRDefault="005942E7" w:rsidP="00B6003D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color w:val="404040" w:themeColor="text1" w:themeTint="BF"/>
        </w:rPr>
      </w:pPr>
      <w:r w:rsidRPr="001C627A">
        <w:rPr>
          <w:rFonts w:cstheme="minorHAnsi"/>
          <w:color w:val="404040" w:themeColor="text1" w:themeTint="BF"/>
        </w:rPr>
        <w:t>Článek 6 (</w:t>
      </w:r>
      <w:r w:rsidRPr="001C627A">
        <w:rPr>
          <w:rFonts w:cstheme="minorHAnsi"/>
          <w:b/>
          <w:color w:val="404040" w:themeColor="text1" w:themeTint="BF"/>
        </w:rPr>
        <w:t>Cíle pro specifické emise výrobce</w:t>
      </w:r>
      <w:r w:rsidRPr="001C627A">
        <w:rPr>
          <w:rFonts w:cstheme="minorHAnsi"/>
          <w:color w:val="404040" w:themeColor="text1" w:themeTint="BF"/>
        </w:rPr>
        <w:t xml:space="preserve">) - stanoví se výpočet ročních cílů týkajících se emisí specifických pro výrobce za předchozí kalendářní rok počínající v roce 2026. První roční cíle budou proto stanoveny pro kalendářní rok 2025. </w:t>
      </w:r>
      <w:r w:rsidRPr="001C627A">
        <w:rPr>
          <w:rFonts w:cstheme="minorHAnsi"/>
          <w:b/>
          <w:color w:val="404040" w:themeColor="text1" w:themeTint="BF"/>
        </w:rPr>
        <w:t xml:space="preserve">Cíle zohlední celkové cíle snížení emisí pro roky 2025 a 2030, jakož i užitečnosti a zvláštnosti různých těžkých </w:t>
      </w:r>
      <w:r w:rsidR="00F57C6E">
        <w:rPr>
          <w:rFonts w:cstheme="minorHAnsi"/>
          <w:b/>
          <w:color w:val="404040" w:themeColor="text1" w:themeTint="BF"/>
        </w:rPr>
        <w:t xml:space="preserve">užitkových </w:t>
      </w:r>
      <w:r w:rsidRPr="001C627A">
        <w:rPr>
          <w:rFonts w:cstheme="minorHAnsi"/>
          <w:b/>
          <w:color w:val="404040" w:themeColor="text1" w:themeTint="BF"/>
        </w:rPr>
        <w:t>vozidel</w:t>
      </w:r>
      <w:r w:rsidR="00F57C6E">
        <w:rPr>
          <w:rFonts w:cstheme="minorHAnsi"/>
          <w:b/>
          <w:color w:val="404040" w:themeColor="text1" w:themeTint="BF"/>
        </w:rPr>
        <w:t xml:space="preserve"> HDV</w:t>
      </w:r>
      <w:r w:rsidRPr="001C627A">
        <w:rPr>
          <w:rFonts w:cstheme="minorHAnsi"/>
          <w:b/>
          <w:color w:val="404040" w:themeColor="text1" w:themeTint="BF"/>
        </w:rPr>
        <w:t xml:space="preserve"> stejným způsobem jako při výpočtu průměrných specifických emisí. Roční specifické cíle emisí výrobce se proto vypočtou jako vážený průměr cílů stanovených pro každou z podskupin vozidel</w:t>
      </w:r>
      <w:r w:rsidRPr="001C627A">
        <w:rPr>
          <w:rFonts w:cstheme="minorHAnsi"/>
          <w:color w:val="404040" w:themeColor="text1" w:themeTint="BF"/>
        </w:rPr>
        <w:t>. Vzorce pro výpočet cíle pro specifické emise jsou stanoveny v oddíle 4 přílohy I.</w:t>
      </w:r>
    </w:p>
    <w:p w:rsidR="005942E7" w:rsidRPr="00783165" w:rsidRDefault="005942E7" w:rsidP="005942E7">
      <w:pPr>
        <w:spacing w:after="0"/>
        <w:jc w:val="both"/>
        <w:rPr>
          <w:b/>
          <w:noProof/>
          <w:color w:val="404040" w:themeColor="text1" w:themeTint="BF"/>
          <w:sz w:val="12"/>
        </w:rPr>
      </w:pPr>
    </w:p>
    <w:p w:rsidR="00830147" w:rsidRPr="00FA108A" w:rsidRDefault="00830147" w:rsidP="00830147">
      <w:pPr>
        <w:spacing w:after="0"/>
        <w:jc w:val="both"/>
        <w:rPr>
          <w:noProof/>
          <w:color w:val="404040" w:themeColor="text1" w:themeTint="BF"/>
        </w:rPr>
      </w:pPr>
      <w:r w:rsidRPr="00FA108A">
        <w:rPr>
          <w:b/>
          <w:noProof/>
          <w:color w:val="404040" w:themeColor="text1" w:themeTint="BF"/>
        </w:rPr>
        <w:t>Příloha I (</w:t>
      </w:r>
      <w:hyperlink r:id="rId131" w:history="1">
        <w:r w:rsidRPr="00FA108A">
          <w:rPr>
            <w:rStyle w:val="Hypertextovodkaz"/>
            <w:b/>
            <w:noProof/>
          </w:rPr>
          <w:t>zde</w:t>
        </w:r>
      </w:hyperlink>
      <w:r w:rsidRPr="00FA108A">
        <w:rPr>
          <w:b/>
          <w:noProof/>
          <w:color w:val="404040" w:themeColor="text1" w:themeTint="BF"/>
        </w:rPr>
        <w:t xml:space="preserve">), oddíl </w:t>
      </w:r>
      <w:r>
        <w:rPr>
          <w:b/>
          <w:noProof/>
          <w:color w:val="404040" w:themeColor="text1" w:themeTint="BF"/>
        </w:rPr>
        <w:t>4</w:t>
      </w:r>
    </w:p>
    <w:p w:rsidR="00830147" w:rsidRPr="00FA108A" w:rsidRDefault="00830147" w:rsidP="00830147">
      <w:pPr>
        <w:spacing w:after="0"/>
        <w:jc w:val="both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 xml:space="preserve">4. </w:t>
      </w:r>
      <w:r w:rsidRPr="00FA108A">
        <w:rPr>
          <w:b/>
          <w:noProof/>
          <w:color w:val="404040" w:themeColor="text1" w:themeTint="BF"/>
        </w:rPr>
        <w:t>Výpočet specifického emisního cíle výrobc</w:t>
      </w:r>
      <w:r>
        <w:rPr>
          <w:b/>
          <w:noProof/>
          <w:color w:val="404040" w:themeColor="text1" w:themeTint="BF"/>
        </w:rPr>
        <w:t xml:space="preserve">e </w:t>
      </w:r>
      <w:r w:rsidRPr="00FA108A">
        <w:rPr>
          <w:b/>
          <w:noProof/>
          <w:color w:val="404040" w:themeColor="text1" w:themeTint="BF"/>
        </w:rPr>
        <w:t>uveden</w:t>
      </w:r>
      <w:r>
        <w:rPr>
          <w:b/>
          <w:noProof/>
          <w:color w:val="404040" w:themeColor="text1" w:themeTint="BF"/>
        </w:rPr>
        <w:t>ých</w:t>
      </w:r>
      <w:r w:rsidRPr="00FA108A">
        <w:rPr>
          <w:b/>
          <w:noProof/>
          <w:color w:val="404040" w:themeColor="text1" w:themeTint="BF"/>
        </w:rPr>
        <w:t xml:space="preserve"> v článku 6</w:t>
      </w: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6804"/>
      </w:tblGrid>
      <w:tr w:rsidR="00830147" w:rsidRPr="00DF0708" w:rsidTr="00DE223A">
        <w:tc>
          <w:tcPr>
            <w:tcW w:w="9606" w:type="dxa"/>
            <w:gridSpan w:val="3"/>
          </w:tcPr>
          <w:p w:rsidR="00830147" w:rsidRPr="00D12C91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</w:rPr>
            </w:pPr>
            <w:r w:rsidRPr="00D12C91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>4</w:t>
            </w:r>
            <w:r w:rsidR="00DD14C8" w:rsidRPr="00D12C91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>.</w:t>
            </w:r>
            <w:r w:rsidRPr="00D12C91">
              <w:rPr>
                <w:rFonts w:asciiTheme="minorHAnsi" w:hAnsiTheme="minorHAnsi" w:cstheme="minorHAnsi"/>
                <w:color w:val="404040" w:themeColor="text1" w:themeTint="BF"/>
                <w:sz w:val="20"/>
              </w:rPr>
              <w:t xml:space="preserve"> Pro každého výrobce a každý kalendářní rok od roku 2025 se specifický cíl emisí „T“ vypočítá takto: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D12C91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12C91">
              <w:rPr>
                <w:rFonts w:asciiTheme="minorHAnsi" w:hAnsiTheme="minorHAnsi" w:cs="Cambria Math"/>
                <w:b/>
                <w:color w:val="404040" w:themeColor="text1" w:themeTint="BF"/>
              </w:rPr>
              <w:t>T</w:t>
            </w:r>
          </w:p>
        </w:tc>
        <w:tc>
          <w:tcPr>
            <w:tcW w:w="567" w:type="dxa"/>
          </w:tcPr>
          <w:p w:rsidR="00830147" w:rsidRPr="00D12C91" w:rsidRDefault="00830147" w:rsidP="00DE223A">
            <w:pPr>
              <w:jc w:val="center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12C91"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  <w:t>=</w:t>
            </w:r>
          </w:p>
        </w:tc>
        <w:tc>
          <w:tcPr>
            <w:tcW w:w="6804" w:type="dxa"/>
          </w:tcPr>
          <w:p w:rsidR="00830147" w:rsidRPr="00D12C91" w:rsidRDefault="00830147" w:rsidP="00DE223A">
            <w:pPr>
              <w:jc w:val="both"/>
              <w:rPr>
                <w:rFonts w:asciiTheme="minorHAnsi" w:hAnsiTheme="minorHAnsi" w:cstheme="minorHAnsi"/>
                <w:b/>
                <w:noProof/>
                <w:color w:val="404040" w:themeColor="text1" w:themeTint="BF"/>
              </w:rPr>
            </w:pP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</w:rPr>
              <w:t>Σ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  <w:vertAlign w:val="subscript"/>
              </w:rPr>
              <w:t>sg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</w:rPr>
              <w:t xml:space="preserve"> share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  <w:vertAlign w:val="subscript"/>
              </w:rPr>
              <w:t>sg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</w:rPr>
              <w:t xml:space="preserve"> </w:t>
            </w:r>
            <w:r w:rsidRPr="00D12C91">
              <w:rPr>
                <w:rFonts w:asciiTheme="minorHAnsi" w:hAnsiTheme="minorHAnsi" w:cstheme="minorHAnsi"/>
                <w:iCs/>
                <w:color w:val="404040" w:themeColor="text1" w:themeTint="BF"/>
              </w:rPr>
              <w:t>×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</w:rPr>
              <w:t xml:space="preserve"> MPW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  <w:vertAlign w:val="subscript"/>
              </w:rPr>
              <w:t>sg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</w:rPr>
              <w:t xml:space="preserve"> </w:t>
            </w:r>
            <w:r w:rsidRPr="00D12C91">
              <w:rPr>
                <w:rFonts w:asciiTheme="minorHAnsi" w:hAnsiTheme="minorHAnsi" w:cstheme="minorHAnsi"/>
                <w:iCs/>
                <w:color w:val="404040" w:themeColor="text1" w:themeTint="BF"/>
              </w:rPr>
              <w:t>×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</w:rPr>
              <w:t xml:space="preserve"> </w:t>
            </w:r>
            <w:r w:rsidRPr="00D12C91">
              <w:rPr>
                <w:rFonts w:asciiTheme="minorHAnsi" w:hAnsiTheme="minorHAnsi" w:cstheme="minorHAnsi"/>
                <w:iCs/>
                <w:color w:val="404040" w:themeColor="text1" w:themeTint="BF"/>
              </w:rPr>
              <w:t>(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</w:rPr>
              <w:t xml:space="preserve">1 </w:t>
            </w:r>
            <w:r w:rsidRPr="00D12C91">
              <w:rPr>
                <w:rFonts w:asciiTheme="minorHAnsi" w:hAnsiTheme="minorHAnsi" w:cstheme="minorHAnsi"/>
                <w:iCs/>
                <w:color w:val="404040" w:themeColor="text1" w:themeTint="BF"/>
              </w:rPr>
              <w:t>-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</w:rPr>
              <w:t xml:space="preserve"> rf</w:t>
            </w:r>
            <w:r w:rsidRPr="00D12C91">
              <w:rPr>
                <w:rFonts w:asciiTheme="minorHAnsi" w:hAnsiTheme="minorHAnsi" w:cstheme="minorHAnsi"/>
                <w:iCs/>
                <w:color w:val="404040" w:themeColor="text1" w:themeTint="BF"/>
              </w:rPr>
              <w:t>) ×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</w:rPr>
              <w:t xml:space="preserve"> rCO2</w:t>
            </w:r>
            <w:r w:rsidRPr="00D12C91">
              <w:rPr>
                <w:rFonts w:asciiTheme="minorHAnsi" w:hAnsiTheme="minorHAnsi" w:cstheme="minorHAnsi"/>
                <w:b/>
                <w:iCs/>
                <w:color w:val="404040" w:themeColor="text1" w:themeTint="BF"/>
                <w:vertAlign w:val="subscript"/>
              </w:rPr>
              <w:t>sg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D37431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  <w:t>kde</w:t>
            </w:r>
          </w:p>
        </w:tc>
        <w:tc>
          <w:tcPr>
            <w:tcW w:w="567" w:type="dxa"/>
          </w:tcPr>
          <w:p w:rsidR="00830147" w:rsidRPr="00D37431" w:rsidRDefault="00830147" w:rsidP="00DE223A">
            <w:pPr>
              <w:jc w:val="center"/>
              <w:rPr>
                <w:rFonts w:asciiTheme="minorHAnsi" w:hAnsiTheme="minorHAnsi" w:cstheme="minorHAnsi"/>
                <w:b/>
                <w:noProof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6804" w:type="dxa"/>
          </w:tcPr>
          <w:p w:rsidR="00830147" w:rsidRPr="00D12C91" w:rsidRDefault="00830147" w:rsidP="00DE223A">
            <w:pPr>
              <w:jc w:val="both"/>
              <w:rPr>
                <w:rFonts w:ascii="Cambria Math" w:hAnsi="Cambria Math" w:cstheme="minorHAnsi"/>
                <w:b/>
                <w:noProof/>
                <w:color w:val="404040" w:themeColor="text1" w:themeTint="BF"/>
                <w:sz w:val="18"/>
                <w:szCs w:val="18"/>
              </w:rPr>
            </w:pPr>
          </w:p>
        </w:tc>
      </w:tr>
      <w:tr w:rsidR="00830147" w:rsidRPr="00DF0708" w:rsidTr="00DE223A">
        <w:tc>
          <w:tcPr>
            <w:tcW w:w="2235" w:type="dxa"/>
          </w:tcPr>
          <w:p w:rsidR="00830147" w:rsidRPr="00D37431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rFonts w:asciiTheme="minorHAnsi" w:hAnsiTheme="minorHAnsi" w:cstheme="minorHAnsi"/>
                <w:iCs/>
                <w:sz w:val="18"/>
                <w:szCs w:val="18"/>
              </w:rPr>
              <w:t>Σ</w:t>
            </w:r>
            <w:r w:rsidRPr="00D37431">
              <w:rPr>
                <w:rFonts w:asciiTheme="minorHAnsi" w:hAnsiTheme="minorHAnsi" w:cstheme="minorHAnsi"/>
                <w:iCs/>
                <w:sz w:val="18"/>
                <w:szCs w:val="18"/>
                <w:vertAlign w:val="subscript"/>
              </w:rPr>
              <w:t>sg</w:t>
            </w:r>
          </w:p>
        </w:tc>
        <w:tc>
          <w:tcPr>
            <w:tcW w:w="567" w:type="dxa"/>
          </w:tcPr>
          <w:p w:rsidR="00830147" w:rsidRPr="00D37431" w:rsidRDefault="00830147" w:rsidP="00DE223A">
            <w:pPr>
              <w:jc w:val="center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  <w:t>=</w:t>
            </w:r>
          </w:p>
        </w:tc>
        <w:tc>
          <w:tcPr>
            <w:tcW w:w="6804" w:type="dxa"/>
          </w:tcPr>
          <w:p w:rsidR="00830147" w:rsidRPr="00D37431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  <w:t>součet všech podskupin</w:t>
            </w:r>
          </w:p>
        </w:tc>
      </w:tr>
      <w:tr w:rsidR="00830147" w:rsidRPr="00DF0708" w:rsidTr="00DE223A">
        <w:tc>
          <w:tcPr>
            <w:tcW w:w="2235" w:type="dxa"/>
          </w:tcPr>
          <w:p w:rsidR="00830147" w:rsidRPr="00D37431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rFonts w:asciiTheme="minorHAnsi" w:hAnsiTheme="minorHAnsi" w:cstheme="minorHAnsi"/>
                <w:iCs/>
                <w:sz w:val="18"/>
                <w:szCs w:val="18"/>
              </w:rPr>
              <w:t>share</w:t>
            </w:r>
            <w:r w:rsidRPr="00D37431">
              <w:rPr>
                <w:rFonts w:asciiTheme="minorHAnsi" w:hAnsiTheme="minorHAnsi" w:cstheme="minorHAnsi"/>
                <w:iCs/>
                <w:sz w:val="18"/>
                <w:szCs w:val="18"/>
                <w:vertAlign w:val="subscript"/>
              </w:rPr>
              <w:t>sg</w:t>
            </w:r>
          </w:p>
        </w:tc>
        <w:tc>
          <w:tcPr>
            <w:tcW w:w="567" w:type="dxa"/>
          </w:tcPr>
          <w:p w:rsidR="00830147" w:rsidRPr="00D37431" w:rsidRDefault="00830147" w:rsidP="00DE223A">
            <w:pPr>
              <w:jc w:val="center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  <w:t>=</w:t>
            </w:r>
          </w:p>
        </w:tc>
        <w:tc>
          <w:tcPr>
            <w:tcW w:w="6804" w:type="dxa"/>
          </w:tcPr>
          <w:p w:rsidR="00830147" w:rsidRPr="00D37431" w:rsidRDefault="00830147" w:rsidP="00DE223A">
            <w:pPr>
              <w:jc w:val="both"/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  <w:szCs w:val="18"/>
              </w:rPr>
              <w:t>jak je stanoveno v bodě 4 oddílu 2</w:t>
            </w:r>
          </w:p>
        </w:tc>
      </w:tr>
      <w:tr w:rsidR="00830147" w:rsidTr="00DE223A">
        <w:tc>
          <w:tcPr>
            <w:tcW w:w="2235" w:type="dxa"/>
          </w:tcPr>
          <w:p w:rsidR="00830147" w:rsidRPr="00D37431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rFonts w:asciiTheme="minorHAnsi" w:hAnsiTheme="minorHAnsi" w:cstheme="minorHAnsi"/>
                <w:iCs/>
                <w:sz w:val="18"/>
                <w:szCs w:val="18"/>
              </w:rPr>
              <w:t>MPW</w:t>
            </w:r>
            <w:r w:rsidRPr="00D37431">
              <w:rPr>
                <w:rFonts w:asciiTheme="minorHAnsi" w:hAnsiTheme="minorHAnsi" w:cstheme="minorHAnsi"/>
                <w:iCs/>
                <w:sz w:val="18"/>
                <w:szCs w:val="18"/>
                <w:vertAlign w:val="subscript"/>
              </w:rPr>
              <w:t>sg</w:t>
            </w:r>
          </w:p>
        </w:tc>
        <w:tc>
          <w:tcPr>
            <w:tcW w:w="567" w:type="dxa"/>
          </w:tcPr>
          <w:p w:rsidR="00830147" w:rsidRPr="00D37431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noProof/>
                <w:color w:val="404040" w:themeColor="text1" w:themeTint="BF"/>
                <w:sz w:val="18"/>
                <w:szCs w:val="18"/>
              </w:rPr>
              <w:t>=</w:t>
            </w:r>
          </w:p>
        </w:tc>
        <w:tc>
          <w:tcPr>
            <w:tcW w:w="6804" w:type="dxa"/>
          </w:tcPr>
          <w:p w:rsidR="00830147" w:rsidRPr="00D37431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noProof/>
                <w:color w:val="404040" w:themeColor="text1" w:themeTint="BF"/>
                <w:sz w:val="18"/>
                <w:szCs w:val="18"/>
              </w:rPr>
              <w:t xml:space="preserve">jak je stanoveno v bodě </w:t>
            </w:r>
            <w:r>
              <w:rPr>
                <w:noProof/>
                <w:color w:val="404040" w:themeColor="text1" w:themeTint="BF"/>
                <w:sz w:val="18"/>
                <w:szCs w:val="18"/>
              </w:rPr>
              <w:t>6</w:t>
            </w:r>
            <w:r w:rsidRPr="00D37431">
              <w:rPr>
                <w:noProof/>
                <w:color w:val="404040" w:themeColor="text1" w:themeTint="BF"/>
                <w:sz w:val="18"/>
                <w:szCs w:val="18"/>
              </w:rPr>
              <w:t xml:space="preserve"> oddílu 2</w:t>
            </w:r>
          </w:p>
        </w:tc>
      </w:tr>
      <w:tr w:rsidR="00830147" w:rsidTr="00DE223A">
        <w:tc>
          <w:tcPr>
            <w:tcW w:w="2235" w:type="dxa"/>
          </w:tcPr>
          <w:p w:rsidR="00830147" w:rsidRPr="00D37431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noProof/>
                <w:color w:val="404040" w:themeColor="text1" w:themeTint="BF"/>
                <w:sz w:val="18"/>
                <w:szCs w:val="18"/>
              </w:rPr>
              <w:t>rf</w:t>
            </w:r>
          </w:p>
        </w:tc>
        <w:tc>
          <w:tcPr>
            <w:tcW w:w="567" w:type="dxa"/>
          </w:tcPr>
          <w:p w:rsidR="00830147" w:rsidRPr="00D37431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noProof/>
                <w:color w:val="404040" w:themeColor="text1" w:themeTint="BF"/>
                <w:sz w:val="18"/>
                <w:szCs w:val="18"/>
              </w:rPr>
              <w:t>=</w:t>
            </w:r>
          </w:p>
        </w:tc>
        <w:tc>
          <w:tcPr>
            <w:tcW w:w="6804" w:type="dxa"/>
          </w:tcPr>
          <w:p w:rsidR="00830147" w:rsidRPr="00D37431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noProof/>
                <w:color w:val="404040" w:themeColor="text1" w:themeTint="BF"/>
                <w:sz w:val="18"/>
                <w:szCs w:val="18"/>
              </w:rPr>
              <w:t>cíl snížení emisí CO2 (v%) podle čl. 1 písm. a) ab) pro konkrétní kalendářní rok</w:t>
            </w:r>
          </w:p>
        </w:tc>
      </w:tr>
      <w:tr w:rsidR="00830147" w:rsidTr="00DE223A">
        <w:tc>
          <w:tcPr>
            <w:tcW w:w="2235" w:type="dxa"/>
          </w:tcPr>
          <w:p w:rsidR="00830147" w:rsidRPr="00D37431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rFonts w:asciiTheme="minorHAnsi" w:hAnsiTheme="minorHAnsi" w:cstheme="minorHAnsi"/>
                <w:iCs/>
                <w:sz w:val="18"/>
                <w:szCs w:val="18"/>
              </w:rPr>
              <w:t>rCO2</w:t>
            </w:r>
            <w:r w:rsidRPr="00D37431">
              <w:rPr>
                <w:rFonts w:asciiTheme="minorHAnsi" w:hAnsiTheme="minorHAnsi" w:cstheme="minorHAnsi"/>
                <w:iCs/>
                <w:sz w:val="18"/>
                <w:szCs w:val="18"/>
                <w:vertAlign w:val="subscript"/>
              </w:rPr>
              <w:t>sg</w:t>
            </w:r>
          </w:p>
        </w:tc>
        <w:tc>
          <w:tcPr>
            <w:tcW w:w="567" w:type="dxa"/>
          </w:tcPr>
          <w:p w:rsidR="00830147" w:rsidRPr="00D37431" w:rsidRDefault="00830147" w:rsidP="00DE223A">
            <w:pPr>
              <w:jc w:val="center"/>
              <w:rPr>
                <w:noProof/>
                <w:color w:val="404040" w:themeColor="text1" w:themeTint="BF"/>
                <w:sz w:val="18"/>
                <w:szCs w:val="18"/>
              </w:rPr>
            </w:pPr>
            <w:r w:rsidRPr="00D37431">
              <w:rPr>
                <w:noProof/>
                <w:color w:val="404040" w:themeColor="text1" w:themeTint="BF"/>
                <w:sz w:val="18"/>
                <w:szCs w:val="18"/>
              </w:rPr>
              <w:t>=</w:t>
            </w:r>
          </w:p>
        </w:tc>
        <w:tc>
          <w:tcPr>
            <w:tcW w:w="6804" w:type="dxa"/>
          </w:tcPr>
          <w:p w:rsidR="00830147" w:rsidRPr="00D37431" w:rsidRDefault="00830147" w:rsidP="00DE223A">
            <w:pPr>
              <w:jc w:val="both"/>
              <w:rPr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noProof/>
                <w:color w:val="404040" w:themeColor="text1" w:themeTint="BF"/>
                <w:sz w:val="18"/>
                <w:szCs w:val="18"/>
              </w:rPr>
              <w:t>Jak je stanoveno v oddílu 3</w:t>
            </w:r>
          </w:p>
        </w:tc>
      </w:tr>
    </w:tbl>
    <w:p w:rsidR="005942E7" w:rsidRDefault="005942E7" w:rsidP="005942E7">
      <w:pPr>
        <w:pStyle w:val="Odstavecseseznamem"/>
        <w:spacing w:after="0"/>
        <w:jc w:val="both"/>
        <w:rPr>
          <w:rFonts w:cstheme="minorHAnsi"/>
          <w:color w:val="404040" w:themeColor="text1" w:themeTint="BF"/>
        </w:rPr>
      </w:pPr>
    </w:p>
    <w:p w:rsidR="005942E7" w:rsidRDefault="005942E7" w:rsidP="00B6003D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color w:val="404040" w:themeColor="text1" w:themeTint="BF"/>
        </w:rPr>
      </w:pPr>
      <w:r w:rsidRPr="00B86364">
        <w:rPr>
          <w:rFonts w:cstheme="minorHAnsi"/>
          <w:color w:val="404040" w:themeColor="text1" w:themeTint="BF"/>
        </w:rPr>
        <w:t>Článek 7 (</w:t>
      </w:r>
      <w:r w:rsidRPr="00B86364">
        <w:rPr>
          <w:rFonts w:cstheme="minorHAnsi"/>
          <w:b/>
          <w:color w:val="404040" w:themeColor="text1" w:themeTint="BF"/>
        </w:rPr>
        <w:t>Emisní kredity</w:t>
      </w:r>
      <w:r w:rsidRPr="00B86364">
        <w:rPr>
          <w:rFonts w:cstheme="minorHAnsi"/>
          <w:color w:val="404040" w:themeColor="text1" w:themeTint="BF"/>
        </w:rPr>
        <w:t xml:space="preserve">) se stanovuje mechanismus </w:t>
      </w:r>
      <w:r w:rsidRPr="00B86364">
        <w:rPr>
          <w:rFonts w:cstheme="minorHAnsi"/>
          <w:b/>
          <w:color w:val="404040" w:themeColor="text1" w:themeTint="BF"/>
        </w:rPr>
        <w:t>převádění kreditů</w:t>
      </w:r>
      <w:r w:rsidRPr="00B86364">
        <w:rPr>
          <w:rFonts w:cstheme="minorHAnsi"/>
          <w:color w:val="404040" w:themeColor="text1" w:themeTint="BF"/>
        </w:rPr>
        <w:t xml:space="preserve"> (banking and borrowing), který umožňuje výrobci vyvážit nedostatečnou výkonnost svého specifického emisního cíle za jeden rok zvýšením vý</w:t>
      </w:r>
      <w:r>
        <w:rPr>
          <w:rFonts w:cstheme="minorHAnsi"/>
          <w:color w:val="404040" w:themeColor="text1" w:themeTint="BF"/>
        </w:rPr>
        <w:t>konosti v </w:t>
      </w:r>
      <w:r w:rsidRPr="00B86364">
        <w:rPr>
          <w:rFonts w:cstheme="minorHAnsi"/>
          <w:color w:val="404040" w:themeColor="text1" w:themeTint="BF"/>
        </w:rPr>
        <w:t>roce</w:t>
      </w:r>
      <w:r>
        <w:rPr>
          <w:rFonts w:cstheme="minorHAnsi"/>
          <w:color w:val="404040" w:themeColor="text1" w:themeTint="BF"/>
        </w:rPr>
        <w:t xml:space="preserve"> jiném</w:t>
      </w:r>
      <w:r w:rsidRPr="00B86364">
        <w:rPr>
          <w:rFonts w:cstheme="minorHAnsi"/>
          <w:color w:val="404040" w:themeColor="text1" w:themeTint="BF"/>
        </w:rPr>
        <w:t xml:space="preserve">. Za tímto účelem může výrobce </w:t>
      </w:r>
      <w:r>
        <w:rPr>
          <w:rFonts w:cstheme="minorHAnsi"/>
          <w:color w:val="404040" w:themeColor="text1" w:themeTint="BF"/>
        </w:rPr>
        <w:t>„</w:t>
      </w:r>
      <w:r w:rsidRPr="00B86364">
        <w:rPr>
          <w:rFonts w:cstheme="minorHAnsi"/>
          <w:b/>
          <w:color w:val="404040" w:themeColor="text1" w:themeTint="BF"/>
        </w:rPr>
        <w:t>uložit</w:t>
      </w:r>
      <w:r>
        <w:rPr>
          <w:rFonts w:cstheme="minorHAnsi"/>
          <w:b/>
          <w:color w:val="404040" w:themeColor="text1" w:themeTint="BF"/>
        </w:rPr>
        <w:t>/spořit</w:t>
      </w:r>
      <w:r>
        <w:rPr>
          <w:rFonts w:cstheme="minorHAnsi"/>
          <w:color w:val="404040" w:themeColor="text1" w:themeTint="BF"/>
        </w:rPr>
        <w:t>“</w:t>
      </w:r>
      <w:r w:rsidRPr="00B86364">
        <w:rPr>
          <w:rFonts w:cstheme="minorHAnsi"/>
          <w:color w:val="404040" w:themeColor="text1" w:themeTint="BF"/>
        </w:rPr>
        <w:t xml:space="preserve"> emisní kredity, pokud jsou jeho emise nižší než </w:t>
      </w:r>
      <w:r>
        <w:rPr>
          <w:rFonts w:cstheme="minorHAnsi"/>
          <w:color w:val="404040" w:themeColor="text1" w:themeTint="BF"/>
        </w:rPr>
        <w:t xml:space="preserve">udává </w:t>
      </w:r>
      <w:r w:rsidRPr="00B86364">
        <w:rPr>
          <w:rFonts w:cstheme="minorHAnsi"/>
          <w:color w:val="404040" w:themeColor="text1" w:themeTint="BF"/>
        </w:rPr>
        <w:t>trajektorie snížení, která je stanovena jako lineární trajektorie od referenčních emisí CO</w:t>
      </w:r>
      <w:r w:rsidRPr="00B86364">
        <w:rPr>
          <w:rFonts w:cstheme="minorHAnsi"/>
          <w:color w:val="404040" w:themeColor="text1" w:themeTint="BF"/>
          <w:vertAlign w:val="subscript"/>
        </w:rPr>
        <w:t>2</w:t>
      </w:r>
      <w:r w:rsidRPr="00B86364">
        <w:rPr>
          <w:rFonts w:cstheme="minorHAnsi"/>
          <w:color w:val="404040" w:themeColor="text1" w:themeTint="BF"/>
        </w:rPr>
        <w:t xml:space="preserve"> do roku 2025 k cílům z roku 2025 a od cílů do roku 2025 až po cíle do roku 2030. Pro zohlednění toho, že se sklony mohou lišit v závislosti na přesných cílech stanovených pro roky 2025 a 2030, je zapotřebí dvou různých trajektorií. Aby se podpořil</w:t>
      </w:r>
      <w:r>
        <w:rPr>
          <w:rFonts w:cstheme="minorHAnsi"/>
          <w:color w:val="404040" w:themeColor="text1" w:themeTint="BF"/>
        </w:rPr>
        <w:t>o</w:t>
      </w:r>
      <w:r w:rsidRPr="00B86364">
        <w:rPr>
          <w:rFonts w:cstheme="minorHAnsi"/>
          <w:color w:val="404040" w:themeColor="text1" w:themeTint="BF"/>
        </w:rPr>
        <w:t xml:space="preserve"> včasné snižování emisí, lze emisní kredity získat již od roku 2019 do roku 2024 a podobně pro období od roku 2025 do 2029. Emisní kredity získané v letech 2019 až 2024 se berou v úvahu pro posouzení shody výrobce s jeho specifickým emisním cílem pouze v roce 2025. Žádné další převedení kreditů získaných v období od roku 2019 do roku 2024 nebude povoleno. Emisní kredity mohou být také získány a použity pro následující období od roku 2025 do roku 2029. V případě, že výrobce překročí svůj cíl v kterémkoli z</w:t>
      </w:r>
      <w:r>
        <w:rPr>
          <w:rFonts w:cstheme="minorHAnsi"/>
          <w:color w:val="404040" w:themeColor="text1" w:themeTint="BF"/>
        </w:rPr>
        <w:t> </w:t>
      </w:r>
      <w:r w:rsidRPr="00B86364">
        <w:rPr>
          <w:rFonts w:cstheme="minorHAnsi"/>
          <w:color w:val="404040" w:themeColor="text1" w:themeTint="BF"/>
        </w:rPr>
        <w:t>let od roku 2025 do roku 2029, může si vytvořit omezený „emisní dluh“, který musí být vyrovnán nejpozději v roce 2029. C</w:t>
      </w:r>
      <w:r w:rsidRPr="00B86364">
        <w:rPr>
          <w:rFonts w:cstheme="minorHAnsi"/>
          <w:b/>
          <w:color w:val="404040" w:themeColor="text1" w:themeTint="BF"/>
        </w:rPr>
        <w:t>elkový emisí dluh nesmí v roce 2025 překročit 5 % specifického emisního cíle výrobce, jinak mu bude v souladu s článkem 8 uložen poplatek za překročení emisí</w:t>
      </w:r>
      <w:r w:rsidRPr="00B86364">
        <w:rPr>
          <w:rFonts w:cstheme="minorHAnsi"/>
          <w:color w:val="404040" w:themeColor="text1" w:themeTint="BF"/>
        </w:rPr>
        <w:t>.</w:t>
      </w:r>
      <w:r>
        <w:rPr>
          <w:rFonts w:cstheme="minorHAnsi"/>
          <w:color w:val="404040" w:themeColor="text1" w:themeTint="BF"/>
        </w:rPr>
        <w:t xml:space="preserve"> </w:t>
      </w:r>
      <w:r w:rsidRPr="00B86364">
        <w:rPr>
          <w:rFonts w:cstheme="minorHAnsi"/>
          <w:color w:val="404040" w:themeColor="text1" w:themeTint="BF"/>
        </w:rPr>
        <w:t>Emisní úvěry a dluhy jsou prvky definované pro účely výpočtů, avšak nejsou považovány za aktiva, která jsou převoditelná nebo podléhají fiskálním opatřením.</w:t>
      </w:r>
      <w:r>
        <w:rPr>
          <w:rFonts w:cstheme="minorHAnsi"/>
          <w:color w:val="404040" w:themeColor="text1" w:themeTint="BF"/>
        </w:rPr>
        <w:t xml:space="preserve"> </w:t>
      </w:r>
      <w:r w:rsidRPr="00B86364">
        <w:rPr>
          <w:rFonts w:cstheme="minorHAnsi"/>
          <w:color w:val="404040" w:themeColor="text1" w:themeTint="BF"/>
        </w:rPr>
        <w:t>Oddíl 5 přílohy I stanoví vzorce pro výpočet trajektorie snížení emisí CO</w:t>
      </w:r>
      <w:r w:rsidRPr="00B86364">
        <w:rPr>
          <w:rFonts w:cstheme="minorHAnsi"/>
          <w:color w:val="404040" w:themeColor="text1" w:themeTint="BF"/>
          <w:vertAlign w:val="subscript"/>
        </w:rPr>
        <w:t>2</w:t>
      </w:r>
      <w:r w:rsidRPr="00B86364">
        <w:rPr>
          <w:rFonts w:cstheme="minorHAnsi"/>
          <w:color w:val="404040" w:themeColor="text1" w:themeTint="BF"/>
        </w:rPr>
        <w:t xml:space="preserve"> a emisních kreditů a dluhů.</w:t>
      </w:r>
    </w:p>
    <w:p w:rsidR="005942E7" w:rsidRDefault="005942E7" w:rsidP="00B6003D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color w:val="404040" w:themeColor="text1" w:themeTint="BF"/>
        </w:rPr>
      </w:pPr>
      <w:r w:rsidRPr="00B86364">
        <w:rPr>
          <w:rFonts w:cstheme="minorHAnsi"/>
          <w:color w:val="404040" w:themeColor="text1" w:themeTint="BF"/>
        </w:rPr>
        <w:t>Článek 8 (</w:t>
      </w:r>
      <w:r w:rsidRPr="00B86364">
        <w:rPr>
          <w:rFonts w:cstheme="minorHAnsi"/>
          <w:b/>
          <w:color w:val="404040" w:themeColor="text1" w:themeTint="BF"/>
        </w:rPr>
        <w:t>Dodržování specifických emisních cílů</w:t>
      </w:r>
      <w:r w:rsidRPr="00B86364">
        <w:rPr>
          <w:rFonts w:cstheme="minorHAnsi"/>
          <w:color w:val="404040" w:themeColor="text1" w:themeTint="BF"/>
        </w:rPr>
        <w:t xml:space="preserve">) - Pokud se zjistí, že výrobce má nadměrné emise, s přihlédnutím k emisním kreditům a dluhům získaným v souladu s článkem 7, uloží Komise </w:t>
      </w:r>
      <w:r w:rsidRPr="00B86364">
        <w:rPr>
          <w:rFonts w:cstheme="minorHAnsi"/>
          <w:b/>
          <w:color w:val="404040" w:themeColor="text1" w:themeTint="BF"/>
        </w:rPr>
        <w:t>finanční sankci</w:t>
      </w:r>
      <w:r w:rsidRPr="00B86364">
        <w:rPr>
          <w:rFonts w:cstheme="minorHAnsi"/>
          <w:color w:val="404040" w:themeColor="text1" w:themeTint="BF"/>
        </w:rPr>
        <w:t xml:space="preserve"> ve formě poplatku za překročení emisí. Výše poplatku je stanovena na </w:t>
      </w:r>
      <w:r w:rsidRPr="00B86364">
        <w:rPr>
          <w:rFonts w:cstheme="minorHAnsi"/>
          <w:b/>
          <w:color w:val="404040" w:themeColor="text1" w:themeTint="BF"/>
        </w:rPr>
        <w:t>6 800 € za g/tunokilometr, což odpovídá 570 € za g/km</w:t>
      </w:r>
      <w:r w:rsidRPr="00B86364">
        <w:rPr>
          <w:rFonts w:cstheme="minorHAnsi"/>
          <w:color w:val="404040" w:themeColor="text1" w:themeTint="BF"/>
        </w:rPr>
        <w:t xml:space="preserve"> na základě průměrným užitečné zatížením 12 tun, z</w:t>
      </w:r>
      <w:r>
        <w:rPr>
          <w:rFonts w:cstheme="minorHAnsi"/>
          <w:color w:val="404040" w:themeColor="text1" w:themeTint="BF"/>
        </w:rPr>
        <w:t> </w:t>
      </w:r>
      <w:r w:rsidRPr="00B86364">
        <w:rPr>
          <w:rFonts w:cstheme="minorHAnsi"/>
          <w:color w:val="404040" w:themeColor="text1" w:themeTint="BF"/>
        </w:rPr>
        <w:t>nadměrných emisí, které odrážejí mezní náklady na technologie snižování emisí CO</w:t>
      </w:r>
      <w:r w:rsidRPr="00B86364">
        <w:rPr>
          <w:rFonts w:cstheme="minorHAnsi"/>
          <w:color w:val="404040" w:themeColor="text1" w:themeTint="BF"/>
          <w:vertAlign w:val="subscript"/>
        </w:rPr>
        <w:t>2</w:t>
      </w:r>
      <w:r w:rsidRPr="00B86364">
        <w:rPr>
          <w:rFonts w:cstheme="minorHAnsi"/>
          <w:color w:val="404040" w:themeColor="text1" w:themeTint="BF"/>
        </w:rPr>
        <w:t xml:space="preserve">. Oddíl 6 přílohy </w:t>
      </w:r>
      <w:r w:rsidRPr="00B86364">
        <w:rPr>
          <w:rFonts w:cstheme="minorHAnsi"/>
          <w:color w:val="404040" w:themeColor="text1" w:themeTint="BF"/>
        </w:rPr>
        <w:lastRenderedPageBreak/>
        <w:t>I stanoví vzorce pro výpočet nadměrných emisí. Způsoby výběru pojistného se stanoví prováděcím aktem.</w:t>
      </w:r>
    </w:p>
    <w:p w:rsidR="005942E7" w:rsidRDefault="005942E7" w:rsidP="00B6003D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color w:val="404040" w:themeColor="text1" w:themeTint="BF"/>
        </w:rPr>
      </w:pPr>
      <w:r w:rsidRPr="00B86364">
        <w:rPr>
          <w:rFonts w:cstheme="minorHAnsi"/>
          <w:color w:val="404040" w:themeColor="text1" w:themeTint="BF"/>
        </w:rPr>
        <w:t>Článek 10 (</w:t>
      </w:r>
      <w:r w:rsidRPr="00B86364">
        <w:rPr>
          <w:rFonts w:cstheme="minorHAnsi"/>
          <w:b/>
          <w:color w:val="404040" w:themeColor="text1" w:themeTint="BF"/>
        </w:rPr>
        <w:t>Zveřejnění údajů a výkonnosti výrobce</w:t>
      </w:r>
      <w:r w:rsidRPr="00B86364">
        <w:rPr>
          <w:rFonts w:cstheme="minorHAnsi"/>
          <w:color w:val="404040" w:themeColor="text1" w:themeTint="BF"/>
        </w:rPr>
        <w:t xml:space="preserve">) mimo jiné </w:t>
      </w:r>
      <w:r w:rsidRPr="00B86364">
        <w:rPr>
          <w:rFonts w:cstheme="minorHAnsi"/>
          <w:b/>
          <w:color w:val="404040" w:themeColor="text1" w:themeTint="BF"/>
        </w:rPr>
        <w:t>zmocňuje Komisi, aby upravila referenční emise CO</w:t>
      </w:r>
      <w:r w:rsidRPr="00B86364">
        <w:rPr>
          <w:rFonts w:cstheme="minorHAnsi"/>
          <w:b/>
          <w:color w:val="404040" w:themeColor="text1" w:themeTint="BF"/>
          <w:vertAlign w:val="subscript"/>
        </w:rPr>
        <w:t>2</w:t>
      </w:r>
      <w:r w:rsidRPr="00B86364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roku</w:t>
      </w:r>
      <w:r w:rsidRPr="00B86364">
        <w:rPr>
          <w:rFonts w:cstheme="minorHAnsi"/>
          <w:color w:val="404040" w:themeColor="text1" w:themeTint="BF"/>
        </w:rPr>
        <w:t xml:space="preserve"> 2019 v souladu s dobře definovanými postupy (článek 12 a příloha II), aby se zohlednily úpravy hodnot užitečného zatížení nebo změn v postupu schvalování typu, které mají </w:t>
      </w:r>
      <w:r w:rsidRPr="00B86364">
        <w:rPr>
          <w:rFonts w:cstheme="minorHAnsi"/>
          <w:b/>
          <w:color w:val="404040" w:themeColor="text1" w:themeTint="BF"/>
        </w:rPr>
        <w:t>nezanedbatelný dopad na emise CO</w:t>
      </w:r>
      <w:r w:rsidRPr="00B86364">
        <w:rPr>
          <w:rFonts w:cstheme="minorHAnsi"/>
          <w:b/>
          <w:color w:val="404040" w:themeColor="text1" w:themeTint="BF"/>
          <w:vertAlign w:val="subscript"/>
        </w:rPr>
        <w:t>2</w:t>
      </w:r>
      <w:r w:rsidRPr="00B86364">
        <w:rPr>
          <w:rFonts w:cstheme="minorHAnsi"/>
          <w:b/>
          <w:color w:val="404040" w:themeColor="text1" w:themeTint="BF"/>
        </w:rPr>
        <w:t xml:space="preserve"> stanovené </w:t>
      </w:r>
      <w:r w:rsidR="00F57C6E">
        <w:rPr>
          <w:rFonts w:cstheme="minorHAnsi"/>
          <w:b/>
          <w:color w:val="404040" w:themeColor="text1" w:themeTint="BF"/>
        </w:rPr>
        <w:t>pro</w:t>
      </w:r>
      <w:r w:rsidRPr="00B86364">
        <w:rPr>
          <w:rFonts w:cstheme="minorHAnsi"/>
          <w:b/>
          <w:color w:val="404040" w:themeColor="text1" w:themeTint="BF"/>
        </w:rPr>
        <w:t xml:space="preserve"> těžk</w:t>
      </w:r>
      <w:r w:rsidR="00F57C6E">
        <w:rPr>
          <w:rFonts w:cstheme="minorHAnsi"/>
          <w:b/>
          <w:color w:val="404040" w:themeColor="text1" w:themeTint="BF"/>
        </w:rPr>
        <w:t>é užitkové</w:t>
      </w:r>
      <w:r w:rsidRPr="00B86364">
        <w:rPr>
          <w:rFonts w:cstheme="minorHAnsi"/>
          <w:b/>
          <w:color w:val="404040" w:themeColor="text1" w:themeTint="BF"/>
        </w:rPr>
        <w:t xml:space="preserve"> vozidl</w:t>
      </w:r>
      <w:r w:rsidR="00F57C6E">
        <w:rPr>
          <w:rFonts w:cstheme="minorHAnsi"/>
          <w:b/>
          <w:color w:val="404040" w:themeColor="text1" w:themeTint="BF"/>
        </w:rPr>
        <w:t>o HDV</w:t>
      </w:r>
      <w:r w:rsidRPr="00B86364">
        <w:rPr>
          <w:rFonts w:cstheme="minorHAnsi"/>
          <w:color w:val="404040" w:themeColor="text1" w:themeTint="BF"/>
        </w:rPr>
        <w:t>. Tato úprava ovlivní výpočet specifických emisních cílů výrobců od roku, který následuje po jejich přijetí.</w:t>
      </w:r>
    </w:p>
    <w:p w:rsidR="005942E7" w:rsidRPr="00557969" w:rsidRDefault="005942E7" w:rsidP="00B6003D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color w:val="404040" w:themeColor="text1" w:themeTint="BF"/>
        </w:rPr>
      </w:pPr>
      <w:r w:rsidRPr="00557969">
        <w:rPr>
          <w:rFonts w:cstheme="minorHAnsi"/>
          <w:color w:val="404040" w:themeColor="text1" w:themeTint="BF"/>
        </w:rPr>
        <w:t>Článek 11 (</w:t>
      </w:r>
      <w:r w:rsidRPr="00557969">
        <w:rPr>
          <w:rFonts w:cstheme="minorHAnsi"/>
          <w:b/>
          <w:color w:val="404040" w:themeColor="text1" w:themeTint="BF"/>
        </w:rPr>
        <w:t>Skutečné emise CO</w:t>
      </w:r>
      <w:r w:rsidRPr="00557969">
        <w:rPr>
          <w:rFonts w:cstheme="minorHAnsi"/>
          <w:b/>
          <w:color w:val="404040" w:themeColor="text1" w:themeTint="BF"/>
          <w:vertAlign w:val="subscript"/>
        </w:rPr>
        <w:t>2</w:t>
      </w:r>
      <w:r w:rsidRPr="00557969">
        <w:rPr>
          <w:rFonts w:cstheme="minorHAnsi"/>
          <w:b/>
          <w:color w:val="404040" w:themeColor="text1" w:themeTint="BF"/>
        </w:rPr>
        <w:t xml:space="preserve"> a spotřeba energie</w:t>
      </w:r>
      <w:r w:rsidRPr="00557969">
        <w:rPr>
          <w:rFonts w:cstheme="minorHAnsi"/>
          <w:color w:val="404040" w:themeColor="text1" w:themeTint="BF"/>
        </w:rPr>
        <w:t xml:space="preserve">) - Komisi se poskytuje pravomoc </w:t>
      </w:r>
      <w:r w:rsidRPr="00557969">
        <w:rPr>
          <w:rFonts w:cstheme="minorHAnsi"/>
          <w:b/>
          <w:color w:val="404040" w:themeColor="text1" w:themeTint="BF"/>
        </w:rPr>
        <w:t>sledovat a hodnotit reprezentativnost reálných hodnot emisí CO</w:t>
      </w:r>
      <w:r w:rsidRPr="00557969">
        <w:rPr>
          <w:rFonts w:cstheme="minorHAnsi"/>
          <w:b/>
          <w:color w:val="404040" w:themeColor="text1" w:themeTint="BF"/>
          <w:vertAlign w:val="subscript"/>
        </w:rPr>
        <w:t>2</w:t>
      </w:r>
      <w:r w:rsidRPr="00557969">
        <w:rPr>
          <w:rFonts w:cstheme="minorHAnsi"/>
          <w:b/>
          <w:color w:val="404040" w:themeColor="text1" w:themeTint="BF"/>
        </w:rPr>
        <w:t xml:space="preserve"> </w:t>
      </w:r>
      <w:r w:rsidRPr="00557969">
        <w:rPr>
          <w:rFonts w:cstheme="minorHAnsi"/>
          <w:color w:val="404040" w:themeColor="text1" w:themeTint="BF"/>
        </w:rPr>
        <w:t xml:space="preserve">simulovaných nástrojem VECTO podle nařízení Komise (EU) 2017/2400. Za tímto účelem by Komise měla mít pravomoc požadovat, aby členské státy a výrobci shromažďovali a předkládali údaje </w:t>
      </w:r>
      <w:r>
        <w:rPr>
          <w:rFonts w:cstheme="minorHAnsi"/>
          <w:color w:val="404040" w:themeColor="text1" w:themeTint="BF"/>
        </w:rPr>
        <w:t>z</w:t>
      </w:r>
      <w:r w:rsidRPr="00557969">
        <w:rPr>
          <w:rFonts w:cstheme="minorHAnsi"/>
          <w:color w:val="404040" w:themeColor="text1" w:themeTint="BF"/>
        </w:rPr>
        <w:t xml:space="preserve"> reálné</w:t>
      </w:r>
      <w:r>
        <w:rPr>
          <w:rFonts w:cstheme="minorHAnsi"/>
          <w:color w:val="404040" w:themeColor="text1" w:themeTint="BF"/>
        </w:rPr>
        <w:t>ho</w:t>
      </w:r>
      <w:r w:rsidRPr="00557969">
        <w:rPr>
          <w:rFonts w:cstheme="minorHAnsi"/>
          <w:color w:val="404040" w:themeColor="text1" w:themeTint="BF"/>
        </w:rPr>
        <w:t xml:space="preserve"> svět</w:t>
      </w:r>
      <w:r>
        <w:rPr>
          <w:rFonts w:cstheme="minorHAnsi"/>
          <w:color w:val="404040" w:themeColor="text1" w:themeTint="BF"/>
        </w:rPr>
        <w:t>a</w:t>
      </w:r>
      <w:r w:rsidRPr="00557969">
        <w:rPr>
          <w:rFonts w:cstheme="minorHAnsi"/>
          <w:color w:val="404040" w:themeColor="text1" w:themeTint="BF"/>
        </w:rPr>
        <w:t>. Tento přístup vychází z</w:t>
      </w:r>
      <w:r>
        <w:rPr>
          <w:rFonts w:cstheme="minorHAnsi"/>
          <w:color w:val="404040" w:themeColor="text1" w:themeTint="BF"/>
        </w:rPr>
        <w:t> </w:t>
      </w:r>
      <w:r w:rsidRPr="00557969">
        <w:rPr>
          <w:rFonts w:cstheme="minorHAnsi"/>
          <w:color w:val="404040" w:themeColor="text1" w:themeTint="BF"/>
        </w:rPr>
        <w:t xml:space="preserve">toho, co je navrženo pro lehká vozidla a jako první krok vyžaduje </w:t>
      </w:r>
      <w:r w:rsidRPr="00415785">
        <w:rPr>
          <w:rFonts w:cstheme="minorHAnsi"/>
          <w:b/>
          <w:color w:val="404040" w:themeColor="text1" w:themeTint="BF"/>
        </w:rPr>
        <w:t xml:space="preserve">zavedení povinných standardizovaných měřidel spotřeby paliva na palubách těžkých </w:t>
      </w:r>
      <w:r w:rsidR="00F57C6E">
        <w:rPr>
          <w:rFonts w:cstheme="minorHAnsi"/>
          <w:b/>
          <w:color w:val="404040" w:themeColor="text1" w:themeTint="BF"/>
        </w:rPr>
        <w:t xml:space="preserve">užitkových </w:t>
      </w:r>
      <w:r w:rsidRPr="00415785">
        <w:rPr>
          <w:rFonts w:cstheme="minorHAnsi"/>
          <w:b/>
          <w:color w:val="404040" w:themeColor="text1" w:themeTint="BF"/>
        </w:rPr>
        <w:t>vozidel</w:t>
      </w:r>
      <w:r w:rsidR="00F57C6E">
        <w:rPr>
          <w:rFonts w:cstheme="minorHAnsi"/>
          <w:b/>
          <w:color w:val="404040" w:themeColor="text1" w:themeTint="BF"/>
        </w:rPr>
        <w:t xml:space="preserve"> HDV</w:t>
      </w:r>
      <w:r w:rsidRPr="00557969">
        <w:rPr>
          <w:rFonts w:cstheme="minorHAnsi"/>
          <w:color w:val="404040" w:themeColor="text1" w:themeTint="BF"/>
        </w:rPr>
        <w:t>.</w:t>
      </w:r>
    </w:p>
    <w:p w:rsidR="008D499F" w:rsidRPr="005942E7" w:rsidRDefault="008D499F" w:rsidP="005942E7"/>
    <w:sectPr w:rsidR="008D499F" w:rsidRPr="005942E7" w:rsidSect="004B2742">
      <w:headerReference w:type="even" r:id="rId132"/>
      <w:headerReference w:type="default" r:id="rId133"/>
      <w:footerReference w:type="even" r:id="rId134"/>
      <w:footerReference w:type="default" r:id="rId135"/>
      <w:headerReference w:type="first" r:id="rId136"/>
      <w:footerReference w:type="first" r:id="rId137"/>
      <w:pgSz w:w="11906" w:h="16838"/>
      <w:pgMar w:top="1418" w:right="1134" w:bottom="1418" w:left="1134" w:header="709" w:footer="19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E1" w:rsidRDefault="00337AE1" w:rsidP="005F7548">
      <w:pPr>
        <w:spacing w:after="0" w:line="240" w:lineRule="auto"/>
      </w:pPr>
      <w:r>
        <w:separator/>
      </w:r>
    </w:p>
  </w:endnote>
  <w:endnote w:type="continuationSeparator" w:id="0">
    <w:p w:rsidR="00337AE1" w:rsidRDefault="00337AE1" w:rsidP="005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66" w:rsidRDefault="00316E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66" w:rsidRDefault="00316E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F5" w:rsidRDefault="002A34F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B2E2D0" wp14:editId="27B42E8A">
              <wp:simplePos x="0" y="0"/>
              <wp:positionH relativeFrom="column">
                <wp:posOffset>4536440</wp:posOffset>
              </wp:positionH>
              <wp:positionV relativeFrom="paragraph">
                <wp:posOffset>259080</wp:posOffset>
              </wp:positionV>
              <wp:extent cx="428400" cy="237600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400" cy="23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34F5" w:rsidRPr="00000194" w:rsidRDefault="002A34F5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člen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2E2D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357.2pt;margin-top:20.4pt;width:33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" fillcolor="white [3201]" stroked="f" strokeweight=".5pt">
              <v:textbox inset="0,,0">
                <w:txbxContent>
                  <w:p w:rsidR="002A34F5" w:rsidRPr="00000194" w:rsidRDefault="002A34F5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člen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6A29F7" wp14:editId="71D8CDA8">
          <wp:simplePos x="0" y="0"/>
          <wp:positionH relativeFrom="column">
            <wp:posOffset>4900295</wp:posOffset>
          </wp:positionH>
          <wp:positionV relativeFrom="paragraph">
            <wp:posOffset>323850</wp:posOffset>
          </wp:positionV>
          <wp:extent cx="1170000" cy="2160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euro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569993" wp14:editId="064E537A">
              <wp:simplePos x="0" y="0"/>
              <wp:positionH relativeFrom="column">
                <wp:posOffset>28575</wp:posOffset>
              </wp:positionH>
              <wp:positionV relativeFrom="paragraph">
                <wp:posOffset>259080</wp:posOffset>
              </wp:positionV>
              <wp:extent cx="4161600" cy="10512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1600" cy="1051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34F5" w:rsidRDefault="002A34F5" w:rsidP="00AA09C1">
                          <w:pPr>
                            <w:pStyle w:val="Zkladnodstavec"/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telefon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(+420) 225 279 111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|  E-mail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spcr@spcr.cz</w:t>
                          </w:r>
                        </w:p>
                        <w:p w:rsidR="002A34F5" w:rsidRPr="00820FF9" w:rsidRDefault="002A34F5" w:rsidP="00945BF2">
                          <w:pPr>
                            <w:rPr>
                              <w:caps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Web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www.spcr.cz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2D5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|  Adresa 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t>Freyova 948/11, 190 00 Praha 9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272154"/>
                              <w:sz w:val="16"/>
                              <w:szCs w:val="16"/>
                            </w:rPr>
                            <w:br/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 xml:space="preserve">Zapsaný ve spolkovém rejstříku, vedeném Městským soudem v Praze oddíl L, vložka 3148. 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br/>
                            <w:t>IČ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O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2"/>
                              <w:szCs w:val="12"/>
                            </w:rPr>
                            <w:t>: 00536211, DIČ: CZ00536211.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69993" id="Textové pole 5" o:spid="_x0000_s1028" type="#_x0000_t202" style="position:absolute;margin-left:2.25pt;margin-top:20.4pt;width:327.7pt;height:8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" fillcolor="white [3201]" stroked="f" strokeweight=".5pt">
              <v:textbox inset="0,,0">
                <w:txbxContent>
                  <w:p w:rsidR="002A34F5" w:rsidRDefault="002A34F5" w:rsidP="00AA09C1">
                    <w:pPr>
                      <w:pStyle w:val="Zkladnodstavec"/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telefon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(+420) 225 279 111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|  E-mail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spcr@spcr.cz</w:t>
                    </w:r>
                  </w:p>
                  <w:p w:rsidR="002A34F5" w:rsidRPr="00820FF9" w:rsidRDefault="002A34F5" w:rsidP="00945BF2">
                    <w:pPr>
                      <w:rPr>
                        <w:caps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Web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www.spcr.cz</w:t>
                    </w:r>
                    <w:r>
                      <w:rPr>
                        <w:rFonts w:ascii="Calibri" w:hAnsi="Calibri" w:cs="Calibri"/>
                        <w:caps/>
                        <w:color w:val="0092D5"/>
                        <w:sz w:val="12"/>
                        <w:szCs w:val="12"/>
                      </w:rPr>
                      <w:t xml:space="preserve"> 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|  Adresa  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t>Freyova 948/11, 190 00 Praha 9</w:t>
                    </w:r>
                    <w:r>
                      <w:rPr>
                        <w:rFonts w:ascii="Calibri" w:hAnsi="Calibri" w:cs="Calibri"/>
                        <w:caps/>
                        <w:color w:val="272154"/>
                        <w:sz w:val="16"/>
                        <w:szCs w:val="16"/>
                      </w:rPr>
                      <w:br/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 xml:space="preserve">Zapsaný ve spolkovém rejstříku, vedeném Městským soudem v Praze oddíl L, vložka 3148. 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br/>
                      <w:t>IČ</w:t>
                    </w:r>
                    <w:r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O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2"/>
                        <w:szCs w:val="12"/>
                      </w:rPr>
                      <w:t>: 00536211, DIČ: CZ00536211.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E1" w:rsidRDefault="00337AE1" w:rsidP="005F7548">
      <w:pPr>
        <w:spacing w:after="0" w:line="240" w:lineRule="auto"/>
      </w:pPr>
      <w:r>
        <w:separator/>
      </w:r>
    </w:p>
  </w:footnote>
  <w:footnote w:type="continuationSeparator" w:id="0">
    <w:p w:rsidR="00337AE1" w:rsidRDefault="00337AE1" w:rsidP="005F7548">
      <w:pPr>
        <w:spacing w:after="0" w:line="240" w:lineRule="auto"/>
      </w:pPr>
      <w:r>
        <w:continuationSeparator/>
      </w:r>
    </w:p>
  </w:footnote>
  <w:footnote w:id="1">
    <w:p w:rsidR="00DD14C8" w:rsidRDefault="00DD14C8" w:rsidP="00DD14C8">
      <w:pPr>
        <w:pStyle w:val="Textpoznpodarou"/>
        <w:jc w:val="both"/>
      </w:pPr>
      <w:r w:rsidRPr="00DD14C8">
        <w:rPr>
          <w:rStyle w:val="Znakapoznpodarou"/>
          <w:color w:val="404040" w:themeColor="text1" w:themeTint="BF"/>
          <w:sz w:val="18"/>
        </w:rPr>
        <w:footnoteRef/>
      </w:r>
      <w:r w:rsidRPr="00DD14C8">
        <w:rPr>
          <w:color w:val="404040" w:themeColor="text1" w:themeTint="BF"/>
          <w:sz w:val="18"/>
        </w:rPr>
        <w:t xml:space="preserve"> Takovým vozidlem se rozumí těžké vozidlo HDV, které není určeno k dodávce zboží a pro které byly v souladu s nařízením (ES) č.</w:t>
      </w:r>
      <w:r w:rsidR="007E76D5">
        <w:rPr>
          <w:color w:val="404040" w:themeColor="text1" w:themeTint="BF"/>
          <w:sz w:val="18"/>
        </w:rPr>
        <w:t> </w:t>
      </w:r>
      <w:r w:rsidRPr="00DD14C8">
        <w:rPr>
          <w:color w:val="404040" w:themeColor="text1" w:themeTint="BF"/>
          <w:sz w:val="18"/>
        </w:rPr>
        <w:t>595/2009 a jeho prováděcími opatřeními stanoveny emise CO</w:t>
      </w:r>
      <w:r w:rsidRPr="00DD14C8">
        <w:rPr>
          <w:color w:val="404040" w:themeColor="text1" w:themeTint="BF"/>
          <w:sz w:val="18"/>
          <w:vertAlign w:val="subscript"/>
        </w:rPr>
        <w:t>2</w:t>
      </w:r>
      <w:r w:rsidRPr="00DD14C8">
        <w:rPr>
          <w:color w:val="404040" w:themeColor="text1" w:themeTint="BF"/>
          <w:sz w:val="18"/>
        </w:rPr>
        <w:t xml:space="preserve"> a spotřeba paliva, a to pouze pro jiné </w:t>
      </w:r>
      <w:r w:rsidR="007E76D5">
        <w:rPr>
          <w:color w:val="404040" w:themeColor="text1" w:themeTint="BF"/>
          <w:sz w:val="18"/>
        </w:rPr>
        <w:t>režimy</w:t>
      </w:r>
      <w:r w:rsidRPr="00DD14C8">
        <w:rPr>
          <w:color w:val="404040" w:themeColor="text1" w:themeTint="BF"/>
          <w:sz w:val="18"/>
        </w:rPr>
        <w:t xml:space="preserve"> jízdy (mission profile), než jsou definovány v bodě 2.1 přílohy I tohoto nařízení.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66" w:rsidRDefault="00316E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66" w:rsidRDefault="00316E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4F5" w:rsidRDefault="002A34F5">
    <w:pPr>
      <w:pStyle w:val="Zhlav"/>
    </w:pPr>
    <w:bookmarkStart w:id="14" w:name="_GoBack"/>
    <w:bookmarkEnd w:id="14"/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492886C" wp14:editId="6189C78E">
          <wp:simplePos x="0" y="0"/>
          <wp:positionH relativeFrom="column">
            <wp:posOffset>32385</wp:posOffset>
          </wp:positionH>
          <wp:positionV relativeFrom="paragraph">
            <wp:posOffset>226695</wp:posOffset>
          </wp:positionV>
          <wp:extent cx="3124800" cy="720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logo_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D842453" wp14:editId="41723D9F">
              <wp:simplePos x="0" y="0"/>
              <wp:positionH relativeFrom="column">
                <wp:posOffset>4612005</wp:posOffset>
              </wp:positionH>
              <wp:positionV relativeFrom="paragraph">
                <wp:posOffset>1227455</wp:posOffset>
              </wp:positionV>
              <wp:extent cx="1515600" cy="475200"/>
              <wp:effectExtent l="0" t="0" r="8890" b="127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60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34F5" w:rsidRDefault="002A34F5" w:rsidP="00316E66">
                          <w:pPr>
                            <w:pStyle w:val="Zkladnodstavec"/>
                            <w:jc w:val="right"/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</w:pP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 xml:space="preserve">V Praze dne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>27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 xml:space="preserve">. 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>května</w:t>
                          </w:r>
                          <w:r w:rsidRPr="00000194"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 xml:space="preserve"> 201</w:t>
                          </w:r>
                          <w:r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70324A" w:rsidRPr="005942E7" w:rsidRDefault="0070324A" w:rsidP="00316E66">
                          <w:pPr>
                            <w:pStyle w:val="Zkladnodstavec"/>
                            <w:jc w:val="right"/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aps/>
                              <w:color w:val="0093D6"/>
                              <w:sz w:val="18"/>
                              <w:szCs w:val="18"/>
                            </w:rPr>
                            <w:t>Jan Šebesta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4245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63.15pt;margin-top:96.65pt;width:119.35pt;height:3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" fillcolor="white [3201]" stroked="f" strokeweight=".5pt">
              <v:textbox inset="0,,0">
                <w:txbxContent>
                  <w:p w:rsidR="002A34F5" w:rsidRDefault="002A34F5" w:rsidP="00316E66">
                    <w:pPr>
                      <w:pStyle w:val="Zkladnodstavec"/>
                      <w:jc w:val="right"/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</w:pP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 xml:space="preserve">V Praze dne </w:t>
                    </w:r>
                    <w:r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>27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 xml:space="preserve">. </w:t>
                    </w:r>
                    <w:r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>května</w:t>
                    </w:r>
                    <w:r w:rsidRPr="00000194"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 xml:space="preserve"> 201</w:t>
                    </w:r>
                    <w:r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>8</w:t>
                    </w:r>
                  </w:p>
                  <w:p w:rsidR="0070324A" w:rsidRPr="005942E7" w:rsidRDefault="0070324A" w:rsidP="00316E66">
                    <w:pPr>
                      <w:pStyle w:val="Zkladnodstavec"/>
                      <w:jc w:val="right"/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aps/>
                        <w:color w:val="0093D6"/>
                        <w:sz w:val="18"/>
                        <w:szCs w:val="18"/>
                      </w:rPr>
                      <w:t>Jan Šebesta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28"/>
    <w:multiLevelType w:val="hybridMultilevel"/>
    <w:tmpl w:val="1DB4E296"/>
    <w:lvl w:ilvl="0" w:tplc="0B2623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512"/>
    <w:multiLevelType w:val="hybridMultilevel"/>
    <w:tmpl w:val="E8EA1C62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88E"/>
    <w:multiLevelType w:val="hybridMultilevel"/>
    <w:tmpl w:val="6F5CB7FA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7B9"/>
    <w:multiLevelType w:val="hybridMultilevel"/>
    <w:tmpl w:val="A77E3F18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121"/>
    <w:multiLevelType w:val="hybridMultilevel"/>
    <w:tmpl w:val="9A04FFD6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3CDE"/>
    <w:multiLevelType w:val="hybridMultilevel"/>
    <w:tmpl w:val="2EAE5530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23BD4"/>
    <w:multiLevelType w:val="hybridMultilevel"/>
    <w:tmpl w:val="45D8D424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E8F000C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0A81"/>
    <w:multiLevelType w:val="hybridMultilevel"/>
    <w:tmpl w:val="3D92828A"/>
    <w:lvl w:ilvl="0" w:tplc="1830565A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  <w:color w:val="0093D6"/>
      </w:rPr>
    </w:lvl>
    <w:lvl w:ilvl="1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B931A40"/>
    <w:multiLevelType w:val="hybridMultilevel"/>
    <w:tmpl w:val="7F5A4034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545F"/>
    <w:multiLevelType w:val="hybridMultilevel"/>
    <w:tmpl w:val="3F50411C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B29F9"/>
    <w:multiLevelType w:val="hybridMultilevel"/>
    <w:tmpl w:val="02163DA6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57F8"/>
    <w:multiLevelType w:val="hybridMultilevel"/>
    <w:tmpl w:val="B9C44612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74C2D"/>
    <w:multiLevelType w:val="hybridMultilevel"/>
    <w:tmpl w:val="346EA7DE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C6655"/>
    <w:multiLevelType w:val="hybridMultilevel"/>
    <w:tmpl w:val="26C6F3E4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757EE"/>
    <w:multiLevelType w:val="hybridMultilevel"/>
    <w:tmpl w:val="326008FA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424F5"/>
    <w:multiLevelType w:val="hybridMultilevel"/>
    <w:tmpl w:val="2CCAA172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F7940"/>
    <w:multiLevelType w:val="hybridMultilevel"/>
    <w:tmpl w:val="C5B8CF46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D4AAC"/>
    <w:multiLevelType w:val="hybridMultilevel"/>
    <w:tmpl w:val="55FAB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93D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20CB4C2">
      <w:numFmt w:val="bullet"/>
      <w:lvlText w:val=""/>
      <w:lvlJc w:val="left"/>
      <w:pPr>
        <w:ind w:left="2916" w:hanging="396"/>
      </w:pPr>
      <w:rPr>
        <w:rFonts w:ascii="Symbol" w:eastAsiaTheme="minorHAnsi" w:hAnsi="Symbol" w:cstheme="minorBidi" w:hint="default"/>
        <w:color w:val="auto"/>
      </w:rPr>
    </w:lvl>
    <w:lvl w:ilvl="4" w:tplc="B888AF22">
      <w:start w:val="1"/>
      <w:numFmt w:val="lowerRoman"/>
      <w:lvlText w:val="%5)"/>
      <w:lvlJc w:val="left"/>
      <w:pPr>
        <w:ind w:left="3960" w:hanging="720"/>
      </w:pPr>
      <w:rPr>
        <w:rFonts w:asciiTheme="minorHAnsi" w:hAnsiTheme="minorHAnsi" w:cstheme="minorBidi" w:hint="default"/>
        <w:color w:val="auto"/>
      </w:rPr>
    </w:lvl>
    <w:lvl w:ilvl="5" w:tplc="040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66B2E"/>
    <w:multiLevelType w:val="hybridMultilevel"/>
    <w:tmpl w:val="27A8C4B0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34A18"/>
    <w:multiLevelType w:val="hybridMultilevel"/>
    <w:tmpl w:val="59C2F52C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63FC"/>
    <w:multiLevelType w:val="hybridMultilevel"/>
    <w:tmpl w:val="FE8869B8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31EC8"/>
    <w:multiLevelType w:val="hybridMultilevel"/>
    <w:tmpl w:val="88780090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B1E99"/>
    <w:multiLevelType w:val="hybridMultilevel"/>
    <w:tmpl w:val="7E202938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060B2"/>
    <w:multiLevelType w:val="hybridMultilevel"/>
    <w:tmpl w:val="CD302A1A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104FB"/>
    <w:multiLevelType w:val="hybridMultilevel"/>
    <w:tmpl w:val="8F820790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 w15:restartNumberingAfterBreak="0">
    <w:nsid w:val="3FCF1680"/>
    <w:multiLevelType w:val="hybridMultilevel"/>
    <w:tmpl w:val="2A741BD0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8" w15:restartNumberingAfterBreak="0">
    <w:nsid w:val="551D11E5"/>
    <w:multiLevelType w:val="hybridMultilevel"/>
    <w:tmpl w:val="E0C45740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04892"/>
    <w:multiLevelType w:val="hybridMultilevel"/>
    <w:tmpl w:val="7C76408E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F7746"/>
    <w:multiLevelType w:val="hybridMultilevel"/>
    <w:tmpl w:val="B8401B54"/>
    <w:lvl w:ilvl="0" w:tplc="1830565A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697178E"/>
    <w:multiLevelType w:val="hybridMultilevel"/>
    <w:tmpl w:val="379E00B8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10185"/>
    <w:multiLevelType w:val="hybridMultilevel"/>
    <w:tmpl w:val="16C60110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D26D8"/>
    <w:multiLevelType w:val="hybridMultilevel"/>
    <w:tmpl w:val="BC406724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55381"/>
    <w:multiLevelType w:val="hybridMultilevel"/>
    <w:tmpl w:val="7D64F476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61FA78B2"/>
    <w:multiLevelType w:val="hybridMultilevel"/>
    <w:tmpl w:val="4A1CA170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A37D8"/>
    <w:multiLevelType w:val="hybridMultilevel"/>
    <w:tmpl w:val="55BEF1B8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6173D"/>
    <w:multiLevelType w:val="hybridMultilevel"/>
    <w:tmpl w:val="628AE084"/>
    <w:lvl w:ilvl="0" w:tplc="E872140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AD3AF0"/>
    <w:multiLevelType w:val="hybridMultilevel"/>
    <w:tmpl w:val="CD1C3564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964E6"/>
    <w:multiLevelType w:val="hybridMultilevel"/>
    <w:tmpl w:val="C036633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CA42013"/>
    <w:multiLevelType w:val="hybridMultilevel"/>
    <w:tmpl w:val="67A0E6E6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C3B75"/>
    <w:multiLevelType w:val="hybridMultilevel"/>
    <w:tmpl w:val="27B4A554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66B06"/>
    <w:multiLevelType w:val="hybridMultilevel"/>
    <w:tmpl w:val="0A62C38E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478DB"/>
    <w:multiLevelType w:val="hybridMultilevel"/>
    <w:tmpl w:val="55DC6764"/>
    <w:lvl w:ilvl="0" w:tplc="18305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3D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38"/>
  </w:num>
  <w:num w:numId="4">
    <w:abstractNumId w:val="27"/>
    <w:lvlOverride w:ilvl="0">
      <w:startOverride w:val="1"/>
    </w:lvlOverride>
  </w:num>
  <w:num w:numId="5">
    <w:abstractNumId w:val="35"/>
  </w:num>
  <w:num w:numId="6">
    <w:abstractNumId w:val="25"/>
  </w:num>
  <w:num w:numId="7">
    <w:abstractNumId w:val="21"/>
  </w:num>
  <w:num w:numId="8">
    <w:abstractNumId w:val="0"/>
  </w:num>
  <w:num w:numId="9">
    <w:abstractNumId w:val="30"/>
  </w:num>
  <w:num w:numId="10">
    <w:abstractNumId w:val="15"/>
  </w:num>
  <w:num w:numId="11">
    <w:abstractNumId w:val="3"/>
  </w:num>
  <w:num w:numId="12">
    <w:abstractNumId w:val="28"/>
  </w:num>
  <w:num w:numId="13">
    <w:abstractNumId w:val="22"/>
  </w:num>
  <w:num w:numId="14">
    <w:abstractNumId w:val="7"/>
  </w:num>
  <w:num w:numId="15">
    <w:abstractNumId w:val="9"/>
  </w:num>
  <w:num w:numId="16">
    <w:abstractNumId w:val="43"/>
  </w:num>
  <w:num w:numId="17">
    <w:abstractNumId w:val="31"/>
  </w:num>
  <w:num w:numId="18">
    <w:abstractNumId w:val="6"/>
  </w:num>
  <w:num w:numId="19">
    <w:abstractNumId w:val="33"/>
  </w:num>
  <w:num w:numId="20">
    <w:abstractNumId w:val="26"/>
  </w:num>
  <w:num w:numId="21">
    <w:abstractNumId w:val="40"/>
  </w:num>
  <w:num w:numId="22">
    <w:abstractNumId w:val="11"/>
  </w:num>
  <w:num w:numId="23">
    <w:abstractNumId w:val="1"/>
  </w:num>
  <w:num w:numId="24">
    <w:abstractNumId w:val="8"/>
  </w:num>
  <w:num w:numId="25">
    <w:abstractNumId w:val="10"/>
  </w:num>
  <w:num w:numId="26">
    <w:abstractNumId w:val="29"/>
  </w:num>
  <w:num w:numId="27">
    <w:abstractNumId w:val="2"/>
  </w:num>
  <w:num w:numId="28">
    <w:abstractNumId w:val="18"/>
  </w:num>
  <w:num w:numId="29">
    <w:abstractNumId w:val="44"/>
  </w:num>
  <w:num w:numId="30">
    <w:abstractNumId w:val="32"/>
  </w:num>
  <w:num w:numId="31">
    <w:abstractNumId w:val="24"/>
  </w:num>
  <w:num w:numId="32">
    <w:abstractNumId w:val="16"/>
  </w:num>
  <w:num w:numId="33">
    <w:abstractNumId w:val="23"/>
  </w:num>
  <w:num w:numId="34">
    <w:abstractNumId w:val="20"/>
  </w:num>
  <w:num w:numId="35">
    <w:abstractNumId w:val="37"/>
  </w:num>
  <w:num w:numId="36">
    <w:abstractNumId w:val="34"/>
  </w:num>
  <w:num w:numId="37">
    <w:abstractNumId w:val="12"/>
  </w:num>
  <w:num w:numId="38">
    <w:abstractNumId w:val="19"/>
  </w:num>
  <w:num w:numId="39">
    <w:abstractNumId w:val="14"/>
  </w:num>
  <w:num w:numId="40">
    <w:abstractNumId w:val="36"/>
  </w:num>
  <w:num w:numId="41">
    <w:abstractNumId w:val="13"/>
  </w:num>
  <w:num w:numId="42">
    <w:abstractNumId w:val="5"/>
  </w:num>
  <w:num w:numId="43">
    <w:abstractNumId w:val="41"/>
  </w:num>
  <w:num w:numId="44">
    <w:abstractNumId w:val="42"/>
  </w:num>
  <w:num w:numId="45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8"/>
    <w:rsid w:val="00000194"/>
    <w:rsid w:val="000145A9"/>
    <w:rsid w:val="000275DB"/>
    <w:rsid w:val="00055D54"/>
    <w:rsid w:val="00072B37"/>
    <w:rsid w:val="000776E8"/>
    <w:rsid w:val="00124B93"/>
    <w:rsid w:val="00127EE6"/>
    <w:rsid w:val="001367E1"/>
    <w:rsid w:val="001758E8"/>
    <w:rsid w:val="00181F48"/>
    <w:rsid w:val="001920D9"/>
    <w:rsid w:val="001F7756"/>
    <w:rsid w:val="00215055"/>
    <w:rsid w:val="002172CC"/>
    <w:rsid w:val="002237B0"/>
    <w:rsid w:val="0022401E"/>
    <w:rsid w:val="00226607"/>
    <w:rsid w:val="0023135E"/>
    <w:rsid w:val="002425AE"/>
    <w:rsid w:val="00244D07"/>
    <w:rsid w:val="00250A03"/>
    <w:rsid w:val="002A34F5"/>
    <w:rsid w:val="002A43F4"/>
    <w:rsid w:val="002B21A1"/>
    <w:rsid w:val="002C5F70"/>
    <w:rsid w:val="002D797B"/>
    <w:rsid w:val="002F62F9"/>
    <w:rsid w:val="00313BEE"/>
    <w:rsid w:val="00315741"/>
    <w:rsid w:val="00316E66"/>
    <w:rsid w:val="00337AE1"/>
    <w:rsid w:val="00342A08"/>
    <w:rsid w:val="0035189A"/>
    <w:rsid w:val="003633CD"/>
    <w:rsid w:val="00386220"/>
    <w:rsid w:val="003D3892"/>
    <w:rsid w:val="003F3FC2"/>
    <w:rsid w:val="00442AB1"/>
    <w:rsid w:val="00464006"/>
    <w:rsid w:val="00477255"/>
    <w:rsid w:val="00497EFC"/>
    <w:rsid w:val="004B2742"/>
    <w:rsid w:val="004B33DA"/>
    <w:rsid w:val="004E6BEE"/>
    <w:rsid w:val="004F7DFE"/>
    <w:rsid w:val="00522E8E"/>
    <w:rsid w:val="00525571"/>
    <w:rsid w:val="00562E1D"/>
    <w:rsid w:val="00566C0C"/>
    <w:rsid w:val="00567C37"/>
    <w:rsid w:val="00571E74"/>
    <w:rsid w:val="005817EE"/>
    <w:rsid w:val="00587926"/>
    <w:rsid w:val="00590357"/>
    <w:rsid w:val="00593885"/>
    <w:rsid w:val="005942E7"/>
    <w:rsid w:val="005D7438"/>
    <w:rsid w:val="005F7548"/>
    <w:rsid w:val="00603E19"/>
    <w:rsid w:val="00613263"/>
    <w:rsid w:val="006A6D54"/>
    <w:rsid w:val="006C1D57"/>
    <w:rsid w:val="006E64CD"/>
    <w:rsid w:val="006E66B4"/>
    <w:rsid w:val="0070324A"/>
    <w:rsid w:val="00712AAB"/>
    <w:rsid w:val="00730774"/>
    <w:rsid w:val="00733E6C"/>
    <w:rsid w:val="0075037F"/>
    <w:rsid w:val="00754BAD"/>
    <w:rsid w:val="00760641"/>
    <w:rsid w:val="00761F50"/>
    <w:rsid w:val="007652FF"/>
    <w:rsid w:val="00775417"/>
    <w:rsid w:val="00783165"/>
    <w:rsid w:val="007932EA"/>
    <w:rsid w:val="007B74EB"/>
    <w:rsid w:val="007E76D5"/>
    <w:rsid w:val="007F315E"/>
    <w:rsid w:val="008159DC"/>
    <w:rsid w:val="00815A04"/>
    <w:rsid w:val="00820FF9"/>
    <w:rsid w:val="00830147"/>
    <w:rsid w:val="00847D58"/>
    <w:rsid w:val="00867716"/>
    <w:rsid w:val="008722D3"/>
    <w:rsid w:val="0089091A"/>
    <w:rsid w:val="008C23B5"/>
    <w:rsid w:val="008D499F"/>
    <w:rsid w:val="008F566F"/>
    <w:rsid w:val="00904E9D"/>
    <w:rsid w:val="00945BF2"/>
    <w:rsid w:val="00982ED6"/>
    <w:rsid w:val="00987EC4"/>
    <w:rsid w:val="00996A85"/>
    <w:rsid w:val="009C4E37"/>
    <w:rsid w:val="009D69B1"/>
    <w:rsid w:val="009F7A44"/>
    <w:rsid w:val="00A06C37"/>
    <w:rsid w:val="00A30B2D"/>
    <w:rsid w:val="00A45073"/>
    <w:rsid w:val="00AA09C1"/>
    <w:rsid w:val="00AB48BE"/>
    <w:rsid w:val="00AD2A4A"/>
    <w:rsid w:val="00AD2E75"/>
    <w:rsid w:val="00AF0ADE"/>
    <w:rsid w:val="00B143F3"/>
    <w:rsid w:val="00B21A8E"/>
    <w:rsid w:val="00B51C66"/>
    <w:rsid w:val="00B57587"/>
    <w:rsid w:val="00B6003D"/>
    <w:rsid w:val="00B93C94"/>
    <w:rsid w:val="00BC0C34"/>
    <w:rsid w:val="00BD0BEF"/>
    <w:rsid w:val="00BF0A28"/>
    <w:rsid w:val="00BF2418"/>
    <w:rsid w:val="00BF2FC8"/>
    <w:rsid w:val="00C6131C"/>
    <w:rsid w:val="00CA3691"/>
    <w:rsid w:val="00CB27BF"/>
    <w:rsid w:val="00CB2EA6"/>
    <w:rsid w:val="00CB4587"/>
    <w:rsid w:val="00CF37FE"/>
    <w:rsid w:val="00D037F8"/>
    <w:rsid w:val="00D12C91"/>
    <w:rsid w:val="00D1604B"/>
    <w:rsid w:val="00D17192"/>
    <w:rsid w:val="00D374F8"/>
    <w:rsid w:val="00D42468"/>
    <w:rsid w:val="00D503A6"/>
    <w:rsid w:val="00D628BC"/>
    <w:rsid w:val="00D64AD2"/>
    <w:rsid w:val="00D700C1"/>
    <w:rsid w:val="00DD14C8"/>
    <w:rsid w:val="00DE223A"/>
    <w:rsid w:val="00E14738"/>
    <w:rsid w:val="00E42E57"/>
    <w:rsid w:val="00E469F3"/>
    <w:rsid w:val="00E47C3E"/>
    <w:rsid w:val="00E56472"/>
    <w:rsid w:val="00E63E9C"/>
    <w:rsid w:val="00E65D7C"/>
    <w:rsid w:val="00E73CE0"/>
    <w:rsid w:val="00E7649B"/>
    <w:rsid w:val="00E81E1D"/>
    <w:rsid w:val="00E87A22"/>
    <w:rsid w:val="00EB31D0"/>
    <w:rsid w:val="00ED1F8D"/>
    <w:rsid w:val="00EF22D5"/>
    <w:rsid w:val="00F00CF2"/>
    <w:rsid w:val="00F06D3C"/>
    <w:rsid w:val="00F225CE"/>
    <w:rsid w:val="00F25D83"/>
    <w:rsid w:val="00F57C6E"/>
    <w:rsid w:val="00F644D1"/>
    <w:rsid w:val="00F7290A"/>
    <w:rsid w:val="00F97DBE"/>
    <w:rsid w:val="00FB5834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D0528C5-0E43-46D7-856B-804E8F81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48"/>
  </w:style>
  <w:style w:type="paragraph" w:styleId="Zpat">
    <w:name w:val="footer"/>
    <w:basedOn w:val="Normln"/>
    <w:link w:val="Zpat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48"/>
  </w:style>
  <w:style w:type="paragraph" w:styleId="Textbubliny">
    <w:name w:val="Balloon Text"/>
    <w:basedOn w:val="Normln"/>
    <w:link w:val="TextbublinyChar"/>
    <w:uiPriority w:val="99"/>
    <w:semiHidden/>
    <w:unhideWhenUsed/>
    <w:rsid w:val="005F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4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A09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42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942E7"/>
    <w:pPr>
      <w:ind w:left="720"/>
      <w:contextualSpacing/>
    </w:pPr>
  </w:style>
  <w:style w:type="paragraph" w:styleId="Textpoznpodarou">
    <w:name w:val="footnote text"/>
    <w:aliases w:val="Schriftart: 9 pt,Schriftart: 10 pt,Schriftart: 8 pt,WB-Fußnotentext,fn,Footnotes,Footnote ak,IT Fußnotentext,Footnote text,Car,Footnote,Char,Fußnote,Carattere,Footnote Text Char Char,fn Char Char,footnote text Char Char,Fotnotstext1"/>
    <w:basedOn w:val="Normln"/>
    <w:link w:val="TextpoznpodarouChar"/>
    <w:uiPriority w:val="99"/>
    <w:unhideWhenUsed/>
    <w:qFormat/>
    <w:rsid w:val="005942E7"/>
    <w:pPr>
      <w:spacing w:after="0" w:line="240" w:lineRule="auto"/>
    </w:pPr>
    <w:rPr>
      <w:sz w:val="20"/>
      <w:szCs w:val="20"/>
      <w:lang w:eastAsia="cs-CZ" w:bidi="cs-CZ"/>
    </w:rPr>
  </w:style>
  <w:style w:type="character" w:customStyle="1" w:styleId="TextpoznpodarouChar">
    <w:name w:val="Text pozn. pod čarou Char"/>
    <w:aliases w:val="Schriftart: 9 pt Char,Schriftart: 10 pt Char,Schriftart: 8 pt Char,WB-Fußnotentext Char,fn Char,Footnotes Char,Footnote ak Char,IT Fußnotentext Char,Footnote text Char,Car Char,Footnote Char,Char Char,Fußnote Char"/>
    <w:basedOn w:val="Standardnpsmoodstavce"/>
    <w:link w:val="Textpoznpodarou"/>
    <w:uiPriority w:val="99"/>
    <w:qFormat/>
    <w:rsid w:val="005942E7"/>
    <w:rPr>
      <w:sz w:val="20"/>
      <w:szCs w:val="20"/>
      <w:lang w:eastAsia="cs-CZ" w:bidi="cs-CZ"/>
    </w:rPr>
  </w:style>
  <w:style w:type="character" w:styleId="Znakapoznpodarou">
    <w:name w:val="footnote reference"/>
    <w:aliases w:val="Footnote symbol,IT Fußnotenzeichen,Footnote symboFußnotenzeichen,Footnote sign,-E Fußnotenzeichen,ESPON Footnote No,Footnote call,Odwołanie przypisu,Footnote Reference Superscript,BVI fnr, BVI fnr,Footnote reference number,number"/>
    <w:basedOn w:val="Standardnpsmoodstavce"/>
    <w:link w:val="Footnotenumber"/>
    <w:uiPriority w:val="99"/>
    <w:unhideWhenUsed/>
    <w:qFormat/>
    <w:rsid w:val="005942E7"/>
    <w:rPr>
      <w:vertAlign w:val="superscript"/>
    </w:rPr>
  </w:style>
  <w:style w:type="paragraph" w:customStyle="1" w:styleId="Footnotenumber">
    <w:name w:val="Footnote number"/>
    <w:aliases w:val="fr"/>
    <w:basedOn w:val="Normln"/>
    <w:link w:val="Znakapoznpodarou"/>
    <w:uiPriority w:val="99"/>
    <w:rsid w:val="005942E7"/>
    <w:pPr>
      <w:spacing w:after="160" w:line="240" w:lineRule="exact"/>
    </w:pPr>
    <w:rPr>
      <w:vertAlign w:val="superscript"/>
    </w:rPr>
  </w:style>
  <w:style w:type="paragraph" w:customStyle="1" w:styleId="Text2">
    <w:name w:val="Text 2"/>
    <w:basedOn w:val="Normln"/>
    <w:rsid w:val="005942E7"/>
    <w:pPr>
      <w:tabs>
        <w:tab w:val="left" w:pos="2302"/>
      </w:tabs>
      <w:ind w:left="1202"/>
    </w:pPr>
    <w:rPr>
      <w:rFonts w:ascii="Calibri" w:eastAsia="Calibri" w:hAnsi="Calibri" w:cs="Times New Roman"/>
      <w:lang w:eastAsia="cs-CZ" w:bidi="cs-CZ"/>
    </w:rPr>
  </w:style>
  <w:style w:type="paragraph" w:customStyle="1" w:styleId="Text1">
    <w:name w:val="Text 1"/>
    <w:basedOn w:val="Normln"/>
    <w:rsid w:val="005942E7"/>
    <w:pPr>
      <w:ind w:left="482"/>
    </w:pPr>
    <w:rPr>
      <w:rFonts w:ascii="Calibri" w:eastAsia="Calibri" w:hAnsi="Calibri" w:cs="Times New Roman"/>
      <w:lang w:eastAsia="cs-CZ" w:bidi="cs-CZ"/>
    </w:rPr>
  </w:style>
  <w:style w:type="table" w:styleId="Mkatabulky">
    <w:name w:val="Table Grid"/>
    <w:basedOn w:val="Normlntabulka"/>
    <w:uiPriority w:val="59"/>
    <w:rsid w:val="005942E7"/>
    <w:pPr>
      <w:spacing w:after="0" w:line="240" w:lineRule="auto"/>
    </w:pPr>
    <w:rPr>
      <w:rFonts w:ascii="Calibri" w:eastAsia="Calibri" w:hAnsi="Calibri" w:cs="Times New Roman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0">
    <w:name w:val="Bullet 0"/>
    <w:basedOn w:val="Normln"/>
    <w:rsid w:val="005942E7"/>
    <w:pPr>
      <w:numPr>
        <w:numId w:val="4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cs-CZ" w:bidi="cs-CZ"/>
    </w:rPr>
  </w:style>
  <w:style w:type="paragraph" w:customStyle="1" w:styleId="Tiret0">
    <w:name w:val="Tiret 0"/>
    <w:basedOn w:val="Normln"/>
    <w:rsid w:val="005942E7"/>
    <w:pPr>
      <w:numPr>
        <w:numId w:val="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cs-CZ" w:bidi="cs-CZ"/>
    </w:rPr>
  </w:style>
  <w:style w:type="paragraph" w:styleId="Seznamsodrkami">
    <w:name w:val="List Bullet"/>
    <w:basedOn w:val="Normln"/>
    <w:rsid w:val="005942E7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oint0">
    <w:name w:val="Point 0"/>
    <w:basedOn w:val="Normln"/>
    <w:rsid w:val="005942E7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italic">
    <w:name w:val="italic"/>
    <w:basedOn w:val="Standardnpsmoodstavce"/>
    <w:rsid w:val="005942E7"/>
  </w:style>
  <w:style w:type="paragraph" w:styleId="Podtitul">
    <w:name w:val="Subtitle"/>
    <w:basedOn w:val="Normln"/>
    <w:next w:val="Normln"/>
    <w:link w:val="PodtitulChar"/>
    <w:uiPriority w:val="11"/>
    <w:qFormat/>
    <w:rsid w:val="005942E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942E7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5942E7"/>
    <w:rPr>
      <w:b/>
      <w:bCs/>
    </w:rPr>
  </w:style>
  <w:style w:type="character" w:styleId="Zdraznnjemn">
    <w:name w:val="Subtle Emphasis"/>
    <w:basedOn w:val="Standardnpsmoodstavce"/>
    <w:uiPriority w:val="19"/>
    <w:qFormat/>
    <w:rsid w:val="005942E7"/>
    <w:rPr>
      <w:i/>
      <w:iCs/>
      <w:color w:val="404040" w:themeColor="text1" w:themeTint="BF"/>
    </w:rPr>
  </w:style>
  <w:style w:type="character" w:customStyle="1" w:styleId="shorttext">
    <w:name w:val="short_text"/>
    <w:basedOn w:val="Standardnpsmoodstavce"/>
    <w:rsid w:val="005942E7"/>
  </w:style>
  <w:style w:type="character" w:customStyle="1" w:styleId="UnresolvedMention">
    <w:name w:val="Unresolved Mention"/>
    <w:basedOn w:val="Standardnpsmoodstavce"/>
    <w:uiPriority w:val="99"/>
    <w:unhideWhenUsed/>
    <w:rsid w:val="005942E7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9F7A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c.europa.eu/transport/sites/transport/files/3rd-mobility-pack/com20180283_en.pdf" TargetMode="External"/><Relationship Id="rId117" Type="http://schemas.openxmlformats.org/officeDocument/2006/relationships/hyperlink" Target="https://ec.europa.eu/transport/sites/transport/files/3rd-mobility-pack/swd20180189-ia-part2.pdf" TargetMode="External"/><Relationship Id="rId21" Type="http://schemas.openxmlformats.org/officeDocument/2006/relationships/hyperlink" Target="https://ec.europa.eu/transport/sites/transport/files/3rd-mobility-pack/swd20180175-ia-part2.pdf" TargetMode="External"/><Relationship Id="rId42" Type="http://schemas.openxmlformats.org/officeDocument/2006/relationships/hyperlink" Target="https://ec.europa.eu/transport/sites/transport/files/3rd-mobility-pack/com20180279-annexes.pdf" TargetMode="External"/><Relationship Id="rId47" Type="http://schemas.openxmlformats.org/officeDocument/2006/relationships/hyperlink" Target="https://ec.europa.eu/transport/sites/transport/files/3rd-mobility-pack/swd20180178-ia-part1.pdf" TargetMode="External"/><Relationship Id="rId63" Type="http://schemas.openxmlformats.org/officeDocument/2006/relationships/hyperlink" Target="http://eur-lex.europa.eu/legal-content/EN/TXT/?uri=SWD:2018:186:FIN" TargetMode="External"/><Relationship Id="rId68" Type="http://schemas.openxmlformats.org/officeDocument/2006/relationships/hyperlink" Target="https://ec.europa.eu/transport/sites/transport/files/3rd-mobility-pack/com20180330-communication.pdf" TargetMode="External"/><Relationship Id="rId84" Type="http://schemas.openxmlformats.org/officeDocument/2006/relationships/hyperlink" Target="https://ec.europa.eu/transport/sites/transport/files/tunnel_executive_summary.pdf" TargetMode="External"/><Relationship Id="rId89" Type="http://schemas.openxmlformats.org/officeDocument/2006/relationships/hyperlink" Target="https://ec.europa.eu/transport/sites/transport/files/3rd-mobility-pack/com20180278-annex.pdf" TargetMode="External"/><Relationship Id="rId112" Type="http://schemas.openxmlformats.org/officeDocument/2006/relationships/hyperlink" Target="https://ec.europa.eu/transport/sites/transport/files/3rd-mobility-pack/com2018xxxx-fuel-price-regulation_en.pdf" TargetMode="External"/><Relationship Id="rId133" Type="http://schemas.openxmlformats.org/officeDocument/2006/relationships/header" Target="header2.xml"/><Relationship Id="rId138" Type="http://schemas.openxmlformats.org/officeDocument/2006/relationships/fontTable" Target="fontTable.xml"/><Relationship Id="rId16" Type="http://schemas.openxmlformats.org/officeDocument/2006/relationships/hyperlink" Target="https://ec.europa.eu/transport/sites/transport/files/3rd-mobility-pack/com20180286-proposal_en.pdf" TargetMode="External"/><Relationship Id="rId107" Type="http://schemas.openxmlformats.org/officeDocument/2006/relationships/hyperlink" Target="https://ec.europa.eu/transport/sites/transport/files/3rd-mobility-pack/com20180277-proposal.pdf" TargetMode="External"/><Relationship Id="rId11" Type="http://schemas.openxmlformats.org/officeDocument/2006/relationships/hyperlink" Target="https://ec.europa.eu/transport/sites/transport/files/3rd-mobility-pack/com20180293-communication_en.pdf" TargetMode="External"/><Relationship Id="rId32" Type="http://schemas.openxmlformats.org/officeDocument/2006/relationships/hyperlink" Target="https://ec.europa.eu/transport/sites/transport/files/3rd-mobility-pack/swd20180229-exec-summ-fitness-check_en.pdf" TargetMode="External"/><Relationship Id="rId37" Type="http://schemas.openxmlformats.org/officeDocument/2006/relationships/hyperlink" Target="https://ec.europa.eu/transport/sites/transport/files/3rd-mobility-pack/swd20180199-ex-post-eval.pdf" TargetMode="External"/><Relationship Id="rId53" Type="http://schemas.openxmlformats.org/officeDocument/2006/relationships/hyperlink" Target="http://eur-lex.europa.eu/legal-content/EN/TXT/?uri=CELEX:52018PC0296" TargetMode="External"/><Relationship Id="rId58" Type="http://schemas.openxmlformats.org/officeDocument/2006/relationships/hyperlink" Target="https://ec.europa.eu/transport/sites/transport/files/3rd-mobility-pack/swd20180188-exec-summ-ia.pdf" TargetMode="External"/><Relationship Id="rId74" Type="http://schemas.openxmlformats.org/officeDocument/2006/relationships/hyperlink" Target="https://ec.europa.eu/transport/sites/transport/files/3rd-mobility-pack/com20180293-annex1_en.pdf" TargetMode="External"/><Relationship Id="rId79" Type="http://schemas.openxmlformats.org/officeDocument/2006/relationships/hyperlink" Target="https://ec.europa.eu/transport/sites/transport/files/3rd-mobility-pack/swd20180175-ia-part1_en.pdf" TargetMode="External"/><Relationship Id="rId102" Type="http://schemas.openxmlformats.org/officeDocument/2006/relationships/hyperlink" Target="https://ec.europa.eu/transport/sites/transport/files/3rd-mobility-pack/com20180279-proposal.pdf" TargetMode="External"/><Relationship Id="rId123" Type="http://schemas.openxmlformats.org/officeDocument/2006/relationships/hyperlink" Target="https://ec.europa.eu/transport/sites/transport/files/3rd-mobility-pack/com20180293-annex2_en.pdf" TargetMode="External"/><Relationship Id="rId128" Type="http://schemas.openxmlformats.org/officeDocument/2006/relationships/hyperlink" Target="https://eur-lex.europa.eu/resource.html?uri=cellar:f38df734-59da-11e8-ab41-01aa75ed71a1.0001.02/DOC_2&amp;format=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c.europa.eu/transport/sites/transport/files/3rd-mobility-pack/swd20180181-ia.pdf" TargetMode="External"/><Relationship Id="rId95" Type="http://schemas.openxmlformats.org/officeDocument/2006/relationships/hyperlink" Target="https://ec.europa.eu/transport/sites/transport/files/3rd-mobility-pack/swd20180231-ex-post-eval-exec-summ_en.pdf" TargetMode="External"/><Relationship Id="rId22" Type="http://schemas.openxmlformats.org/officeDocument/2006/relationships/hyperlink" Target="https://ec.europa.eu/transport/sites/transport/files/3rd-mobility-pack/swd20180176-exec-summ-ia.pdf" TargetMode="External"/><Relationship Id="rId27" Type="http://schemas.openxmlformats.org/officeDocument/2006/relationships/hyperlink" Target="https://ec.europa.eu/transport/sites/transport/files/3rd-mobility-pack/com20180278-proposal.pdf" TargetMode="External"/><Relationship Id="rId43" Type="http://schemas.openxmlformats.org/officeDocument/2006/relationships/hyperlink" Target="https://ec.europa.eu/transport/sites/transport/files/3rd-mobility-pack/swd20180183-ia-part1.pdf" TargetMode="External"/><Relationship Id="rId48" Type="http://schemas.openxmlformats.org/officeDocument/2006/relationships/hyperlink" Target="https://ec.europa.eu/transport/sites/transport/files/3rd-mobility-pack/swd20180178-ia-part2.pdf" TargetMode="External"/><Relationship Id="rId64" Type="http://schemas.openxmlformats.org/officeDocument/2006/relationships/hyperlink" Target="https://ec.europa.eu/clima/sites/clima/files/transport/vehicles/heavy/docs/faq_hdv_proposal_en.pdf" TargetMode="External"/><Relationship Id="rId69" Type="http://schemas.openxmlformats.org/officeDocument/2006/relationships/hyperlink" Target="https://ec.europa.eu/transport/sites/transport/files/3rd-mobility-pack/com20180293-communication_en.pdf" TargetMode="External"/><Relationship Id="rId113" Type="http://schemas.openxmlformats.org/officeDocument/2006/relationships/hyperlink" Target="https://ec.europa.eu/transport/sites/transport/files/3rd-mobility-pack/com2018xxxx-fuel-price-regulation-annex_en.pdf" TargetMode="External"/><Relationship Id="rId118" Type="http://schemas.openxmlformats.org/officeDocument/2006/relationships/hyperlink" Target="https://ec.europa.eu/transport/sites/transport/files/3rd-mobility-pack/swd20180189-ia-part3.pdf" TargetMode="External"/><Relationship Id="rId134" Type="http://schemas.openxmlformats.org/officeDocument/2006/relationships/footer" Target="footer1.xml"/><Relationship Id="rId139" Type="http://schemas.openxmlformats.org/officeDocument/2006/relationships/theme" Target="theme/theme1.xml"/><Relationship Id="rId8" Type="http://schemas.openxmlformats.org/officeDocument/2006/relationships/hyperlink" Target="http://europa.eu/rapid/press-release_IP-18-3708_cs.htm" TargetMode="External"/><Relationship Id="rId51" Type="http://schemas.openxmlformats.org/officeDocument/2006/relationships/hyperlink" Target="https://ec.europa.eu/transport/sites/transport/files/3rd-mobility-pack/com2018xxxx-fuel-price-regulation_en.pdf" TargetMode="External"/><Relationship Id="rId72" Type="http://schemas.openxmlformats.org/officeDocument/2006/relationships/hyperlink" Target="https://ec.europa.eu/transport/sites/transport/files/3rd-mobility-pack/com20180286-proposal_en.pdf" TargetMode="External"/><Relationship Id="rId80" Type="http://schemas.openxmlformats.org/officeDocument/2006/relationships/hyperlink" Target="https://ec.europa.eu/transport/sites/transport/files/3rd-mobility-pack/swd20180175-ia-part2.pdf" TargetMode="External"/><Relationship Id="rId85" Type="http://schemas.openxmlformats.org/officeDocument/2006/relationships/hyperlink" Target="https://ec.europa.eu/transport/sites/transport/files/3rd-mobility-pack/com20180274-proposal_en.pdf" TargetMode="External"/><Relationship Id="rId93" Type="http://schemas.openxmlformats.org/officeDocument/2006/relationships/hyperlink" Target="https://ec.europa.eu/transport/sites/transport/files/3rd-mobility-pack/swd20180229-exec-summ-fitness-check_en.pdf" TargetMode="External"/><Relationship Id="rId98" Type="http://schemas.openxmlformats.org/officeDocument/2006/relationships/hyperlink" Target="https://ec.europa.eu/transport/sites/transport/files/3rd-mobility-pack/swd20180199-ex-post-eval.pdf" TargetMode="External"/><Relationship Id="rId121" Type="http://schemas.openxmlformats.org/officeDocument/2006/relationships/hyperlink" Target="https://ec.europa.eu/transport/sites/transport/files/3rd-mobility-pack/com20180293-annex2_en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ec.europa.eu/transport/sites/transport/files/3rd-mobility-pack/com20180293-annex1_en.pdf" TargetMode="External"/><Relationship Id="rId17" Type="http://schemas.openxmlformats.org/officeDocument/2006/relationships/hyperlink" Target="https://ec.europa.eu/transport/sites/transport/files/3rd-mobility-pack/com20180286-annex_en.pdf" TargetMode="External"/><Relationship Id="rId25" Type="http://schemas.openxmlformats.org/officeDocument/2006/relationships/hyperlink" Target="https://ec.europa.eu/transport/sites/transport/files/tunnel_executive_summary.pdf" TargetMode="External"/><Relationship Id="rId33" Type="http://schemas.openxmlformats.org/officeDocument/2006/relationships/hyperlink" Target="https://ec.europa.eu/transport/sites/transport/files/3rd-mobility-pack/swd20180230-ex-post-eval.pdf" TargetMode="External"/><Relationship Id="rId38" Type="http://schemas.openxmlformats.org/officeDocument/2006/relationships/hyperlink" Target="https://ec.europa.eu/transport/sites/transport/files/3rd-mobility-pack/swd20180227-ex-post-eval-exec-summ_en.pdf" TargetMode="External"/><Relationship Id="rId46" Type="http://schemas.openxmlformats.org/officeDocument/2006/relationships/hyperlink" Target="https://ec.europa.eu/transport/sites/transport/files/3rd-mobility-pack/com20180277-proposal.pdf" TargetMode="External"/><Relationship Id="rId59" Type="http://schemas.openxmlformats.org/officeDocument/2006/relationships/hyperlink" Target="https://ec.europa.eu/transport/sites/transport/files/3rd-mobility-pack/swd20180245.pdf" TargetMode="External"/><Relationship Id="rId67" Type="http://schemas.openxmlformats.org/officeDocument/2006/relationships/hyperlink" Target="https://ec.europa.eu/transport/sites/transport/files/3rd-mobility-pack/com20180293-annex2_en.pdf" TargetMode="External"/><Relationship Id="rId103" Type="http://schemas.openxmlformats.org/officeDocument/2006/relationships/hyperlink" Target="https://ec.europa.eu/transport/sites/transport/files/3rd-mobility-pack/com20180279-annexes.pdf" TargetMode="External"/><Relationship Id="rId108" Type="http://schemas.openxmlformats.org/officeDocument/2006/relationships/hyperlink" Target="https://ec.europa.eu/transport/sites/transport/files/3rd-mobility-pack/swd20180178-ia-part1.pdf" TargetMode="External"/><Relationship Id="rId116" Type="http://schemas.openxmlformats.org/officeDocument/2006/relationships/hyperlink" Target="https://ec.europa.eu/transport/sites/transport/files/3rd-mobility-pack/swd20180189-ia-part1.pdf" TargetMode="External"/><Relationship Id="rId124" Type="http://schemas.openxmlformats.org/officeDocument/2006/relationships/hyperlink" Target="http://eur-lex.europa.eu/legal-content/EN/TXT/?uri=COM:2018:284:FIN" TargetMode="External"/><Relationship Id="rId129" Type="http://schemas.openxmlformats.org/officeDocument/2006/relationships/hyperlink" Target="https://eur-lex.europa.eu/resource.html?uri=cellar:f38df734-59da-11e8-ab41-01aa75ed71a1.0001.02/DOC_2&amp;format=PDF" TargetMode="External"/><Relationship Id="rId137" Type="http://schemas.openxmlformats.org/officeDocument/2006/relationships/footer" Target="footer3.xml"/><Relationship Id="rId20" Type="http://schemas.openxmlformats.org/officeDocument/2006/relationships/hyperlink" Target="https://ec.europa.eu/transport/sites/transport/files/3rd-mobility-pack/swd20180175-ia-part1_en.pdf" TargetMode="External"/><Relationship Id="rId41" Type="http://schemas.openxmlformats.org/officeDocument/2006/relationships/hyperlink" Target="https://ec.europa.eu/transport/sites/transport/files/3rd-mobility-pack/com20180279-proposal.pdf" TargetMode="External"/><Relationship Id="rId54" Type="http://schemas.openxmlformats.org/officeDocument/2006/relationships/hyperlink" Target="https://ec.europa.eu/transport/sites/transport/files/3rd-mobility-pack/com20180296-annex.pdf" TargetMode="External"/><Relationship Id="rId62" Type="http://schemas.openxmlformats.org/officeDocument/2006/relationships/hyperlink" Target="http://eur-lex.europa.eu/legal-content/EN/TXT/?uri=SWD:2018:185:FIN" TargetMode="External"/><Relationship Id="rId70" Type="http://schemas.openxmlformats.org/officeDocument/2006/relationships/hyperlink" Target="https://ec.europa.eu/transport/sites/transport/files/3rd-mobility-pack/com20180330-communication.pdf" TargetMode="External"/><Relationship Id="rId75" Type="http://schemas.openxmlformats.org/officeDocument/2006/relationships/hyperlink" Target="https://ec.europa.eu/transport/sites/transport/files/3rd-mobility-pack/com20180286-proposal_en.pdf" TargetMode="External"/><Relationship Id="rId83" Type="http://schemas.openxmlformats.org/officeDocument/2006/relationships/hyperlink" Target="https://ec.europa.eu/transport/sites/transport/files/tunnel_final_report.pdf" TargetMode="External"/><Relationship Id="rId88" Type="http://schemas.openxmlformats.org/officeDocument/2006/relationships/hyperlink" Target="https://ec.europa.eu/transport/sites/transport/files/3rd-mobility-pack/com20180278-proposal.pdf" TargetMode="External"/><Relationship Id="rId91" Type="http://schemas.openxmlformats.org/officeDocument/2006/relationships/hyperlink" Target="https://ec.europa.eu/transport/sites/transport/files/3rd-mobility-pack/swd20180182-exec-summ-ia.pdf" TargetMode="External"/><Relationship Id="rId96" Type="http://schemas.openxmlformats.org/officeDocument/2006/relationships/hyperlink" Target="https://ec.europa.eu/transport/sites/transport/files/3rd-mobility-pack/swd20180232-ex-post-eval.pdf" TargetMode="External"/><Relationship Id="rId111" Type="http://schemas.openxmlformats.org/officeDocument/2006/relationships/hyperlink" Target="https://ec.europa.eu/transport/sites/transport/files/3rd-mobility-pack/com20180275-proposal_en.pdf" TargetMode="External"/><Relationship Id="rId13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c.europa.eu/transport/sites/transport/files/3rd-mobility-pack/com20180293-annex1_en.pdf" TargetMode="External"/><Relationship Id="rId23" Type="http://schemas.openxmlformats.org/officeDocument/2006/relationships/hyperlink" Target="https://ec.europa.eu/transport/sites/transport/files/2014-12-eval-directive-2008-96-ec.pdf" TargetMode="External"/><Relationship Id="rId28" Type="http://schemas.openxmlformats.org/officeDocument/2006/relationships/hyperlink" Target="https://ec.europa.eu/transport/sites/transport/files/3rd-mobility-pack/com20180278-annex.pdf" TargetMode="External"/><Relationship Id="rId36" Type="http://schemas.openxmlformats.org/officeDocument/2006/relationships/hyperlink" Target="https://ec.europa.eu/transport/sites/transport/files/3rd-mobility-pack/swd20180233-ex-post-eval-exec-summ_en.pdf" TargetMode="External"/><Relationship Id="rId49" Type="http://schemas.openxmlformats.org/officeDocument/2006/relationships/hyperlink" Target="https://ec.europa.eu/transport/sites/transport/files/3rd-mobility-pack/swd20180179-exec-summ-ia.pdf" TargetMode="External"/><Relationship Id="rId57" Type="http://schemas.openxmlformats.org/officeDocument/2006/relationships/hyperlink" Target="https://ec.europa.eu/transport/sites/transport/files/3rd-mobility-pack/swd20180189-ia-part3.pdf" TargetMode="External"/><Relationship Id="rId106" Type="http://schemas.openxmlformats.org/officeDocument/2006/relationships/hyperlink" Target="https://ec.europa.eu/transport/sites/transport/files/3rd-mobility-pack/swd20180184-exec-summary-ia.pdf" TargetMode="External"/><Relationship Id="rId114" Type="http://schemas.openxmlformats.org/officeDocument/2006/relationships/hyperlink" Target="http://eur-lex.europa.eu/legal-content/EN/TXT/?uri=CELEX:52018PC0296" TargetMode="External"/><Relationship Id="rId119" Type="http://schemas.openxmlformats.org/officeDocument/2006/relationships/hyperlink" Target="https://ec.europa.eu/transport/sites/transport/files/3rd-mobility-pack/swd20180188-exec-summ-ia.pdf" TargetMode="External"/><Relationship Id="rId127" Type="http://schemas.openxmlformats.org/officeDocument/2006/relationships/hyperlink" Target="https://ec.europa.eu/clima/sites/clima/files/transport/vehicles/heavy/docs/faq_hdv_proposal_en.pdf" TargetMode="External"/><Relationship Id="rId10" Type="http://schemas.openxmlformats.org/officeDocument/2006/relationships/hyperlink" Target="https://ec.europa.eu/transport/modes/road/news/2018-05-17-europe-on-the-move-3_en" TargetMode="External"/><Relationship Id="rId31" Type="http://schemas.openxmlformats.org/officeDocument/2006/relationships/hyperlink" Target="https://ec.europa.eu/transport/sites/transport/files/3rd-mobility-pack/swd20180228-fitness-check.pdf" TargetMode="External"/><Relationship Id="rId44" Type="http://schemas.openxmlformats.org/officeDocument/2006/relationships/hyperlink" Target="https://ec.europa.eu/transport/sites/transport/files/3rd-mobility-pack/swd20180183-ia-part2.pdf" TargetMode="External"/><Relationship Id="rId52" Type="http://schemas.openxmlformats.org/officeDocument/2006/relationships/hyperlink" Target="https://ec.europa.eu/transport/sites/transport/files/3rd-mobility-pack/com2018xxxx-fuel-price-regulation-annex_en.pdf" TargetMode="External"/><Relationship Id="rId60" Type="http://schemas.openxmlformats.org/officeDocument/2006/relationships/hyperlink" Target="https://ec.europa.eu/transport/sites/transport/files/3rd-mobility-pack/com20180293-annex2_en.pdf" TargetMode="External"/><Relationship Id="rId65" Type="http://schemas.openxmlformats.org/officeDocument/2006/relationships/hyperlink" Target="https://ec.europa.eu/transport/sites/transport/files/3rd-mobility-pack/com20180293-communication_en.pdf" TargetMode="External"/><Relationship Id="rId73" Type="http://schemas.openxmlformats.org/officeDocument/2006/relationships/hyperlink" Target="https://ec.europa.eu/transport/sites/transport/files/3rd-mobility-pack/com20180286-annex_en.pdf" TargetMode="External"/><Relationship Id="rId78" Type="http://schemas.openxmlformats.org/officeDocument/2006/relationships/hyperlink" Target="https://ec.europa.eu/transport/sites/transport/files/3rd-mobility-pack/com20180274-annex_en.pdf" TargetMode="External"/><Relationship Id="rId81" Type="http://schemas.openxmlformats.org/officeDocument/2006/relationships/hyperlink" Target="https://ec.europa.eu/transport/sites/transport/files/3rd-mobility-pack/swd20180176-exec-summ-ia.pdf" TargetMode="External"/><Relationship Id="rId86" Type="http://schemas.openxmlformats.org/officeDocument/2006/relationships/hyperlink" Target="https://ec.europa.eu/transport/sites/transport/files/3rd-mobility-pack/com20180283_en.pdf" TargetMode="External"/><Relationship Id="rId94" Type="http://schemas.openxmlformats.org/officeDocument/2006/relationships/hyperlink" Target="https://ec.europa.eu/transport/sites/transport/files/3rd-mobility-pack/swd20180230-ex-post-eval.pdf" TargetMode="External"/><Relationship Id="rId99" Type="http://schemas.openxmlformats.org/officeDocument/2006/relationships/hyperlink" Target="https://ec.europa.eu/transport/sites/transport/files/3rd-mobility-pack/swd20180227-ex-post-eval-exec-summ_en.pdf" TargetMode="External"/><Relationship Id="rId101" Type="http://schemas.openxmlformats.org/officeDocument/2006/relationships/hyperlink" Target="https://ec.europa.eu/transport/sites/transport/files/3rd-mobility-pack/swd20180235-eval-exec-summ_en.pdf" TargetMode="External"/><Relationship Id="rId122" Type="http://schemas.openxmlformats.org/officeDocument/2006/relationships/hyperlink" Target="https://ec.europa.eu/transport/sites/transport/files/3rd-mobility-pack/swd20180245.pdf" TargetMode="External"/><Relationship Id="rId130" Type="http://schemas.openxmlformats.org/officeDocument/2006/relationships/hyperlink" Target="https://eur-lex.europa.eu/resource.html?uri=cellar:f38df734-59da-11e8-ab41-01aa75ed71a1.0001.02/DOC_2&amp;format=PDF" TargetMode="External"/><Relationship Id="rId13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uropa.eu/rapid/press-release_IP-18-3708_cs.htm" TargetMode="External"/><Relationship Id="rId13" Type="http://schemas.openxmlformats.org/officeDocument/2006/relationships/hyperlink" Target="https://ec.europa.eu/transport/sites/transport/files/3rd-mobility-pack/com20180293-annex2_en.pdf" TargetMode="External"/><Relationship Id="rId18" Type="http://schemas.openxmlformats.org/officeDocument/2006/relationships/hyperlink" Target="https://ec.europa.eu/transport/sites/transport/files/3rd-mobility-pack/com20180274-proposal_en.pdf" TargetMode="External"/><Relationship Id="rId39" Type="http://schemas.openxmlformats.org/officeDocument/2006/relationships/hyperlink" Target="https://ec.europa.eu/transport/sites/transport/files/3rd-mobility-pack/swd20180234-eval.pdf" TargetMode="External"/><Relationship Id="rId109" Type="http://schemas.openxmlformats.org/officeDocument/2006/relationships/hyperlink" Target="https://ec.europa.eu/transport/sites/transport/files/3rd-mobility-pack/swd20180178-ia-part2.pdf" TargetMode="External"/><Relationship Id="rId34" Type="http://schemas.openxmlformats.org/officeDocument/2006/relationships/hyperlink" Target="https://ec.europa.eu/transport/sites/transport/files/3rd-mobility-pack/swd20180231-ex-post-eval-exec-summ_en.pdf" TargetMode="External"/><Relationship Id="rId50" Type="http://schemas.openxmlformats.org/officeDocument/2006/relationships/hyperlink" Target="https://ec.europa.eu/transport/sites/transport/files/3rd-mobility-pack/com20180275-proposal_en.pdf" TargetMode="External"/><Relationship Id="rId55" Type="http://schemas.openxmlformats.org/officeDocument/2006/relationships/hyperlink" Target="https://ec.europa.eu/transport/sites/transport/files/3rd-mobility-pack/swd20180189-ia-part1.pdf" TargetMode="External"/><Relationship Id="rId76" Type="http://schemas.openxmlformats.org/officeDocument/2006/relationships/hyperlink" Target="https://ec.europa.eu/transport/sites/transport/files/3rd-mobility-pack/com20180286-annex_en.pdf" TargetMode="External"/><Relationship Id="rId97" Type="http://schemas.openxmlformats.org/officeDocument/2006/relationships/hyperlink" Target="https://ec.europa.eu/transport/sites/transport/files/3rd-mobility-pack/swd20180233-ex-post-eval-exec-summ_en.pdf" TargetMode="External"/><Relationship Id="rId104" Type="http://schemas.openxmlformats.org/officeDocument/2006/relationships/hyperlink" Target="https://ec.europa.eu/transport/sites/transport/files/3rd-mobility-pack/swd20180183-ia-part1.pdf" TargetMode="External"/><Relationship Id="rId120" Type="http://schemas.openxmlformats.org/officeDocument/2006/relationships/hyperlink" Target="https://ec.europa.eu/transport/sites/transport/files/3rd-mobility-pack/swd20180245.pdf" TargetMode="External"/><Relationship Id="rId125" Type="http://schemas.openxmlformats.org/officeDocument/2006/relationships/hyperlink" Target="http://eur-lex.europa.eu/legal-content/EN/TXT/?uri=SWD:2018:185:FI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c.europa.eu/transport/sites/transport/files/3rd-mobility-pack/com20180293-annex1_en.pdf" TargetMode="External"/><Relationship Id="rId92" Type="http://schemas.openxmlformats.org/officeDocument/2006/relationships/hyperlink" Target="https://ec.europa.eu/transport/sites/transport/files/3rd-mobility-pack/swd20180228-fitness-check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c.europa.eu/transport/sites/transport/files/3rd-mobility-pack/swd20180181-ia.pdf" TargetMode="External"/><Relationship Id="rId24" Type="http://schemas.openxmlformats.org/officeDocument/2006/relationships/hyperlink" Target="https://ec.europa.eu/transport/sites/transport/files/tunnel_final_report.pdf" TargetMode="External"/><Relationship Id="rId40" Type="http://schemas.openxmlformats.org/officeDocument/2006/relationships/hyperlink" Target="https://ec.europa.eu/transport/sites/transport/files/3rd-mobility-pack/swd20180235-eval-exec-summ_en.pdf" TargetMode="External"/><Relationship Id="rId45" Type="http://schemas.openxmlformats.org/officeDocument/2006/relationships/hyperlink" Target="https://ec.europa.eu/transport/sites/transport/files/3rd-mobility-pack/swd20180184-exec-summary-ia.pdf" TargetMode="External"/><Relationship Id="rId66" Type="http://schemas.openxmlformats.org/officeDocument/2006/relationships/hyperlink" Target="https://ec.europa.eu/transport/sites/transport/files/3rd-mobility-pack/com20180293-annex1_en.pdf" TargetMode="External"/><Relationship Id="rId87" Type="http://schemas.openxmlformats.org/officeDocument/2006/relationships/hyperlink" Target="https://ec.europa.eu/growth/content/high-level-group-gear-2030-report-on-automotive-competitiveness-and-sustainability_en" TargetMode="External"/><Relationship Id="rId110" Type="http://schemas.openxmlformats.org/officeDocument/2006/relationships/hyperlink" Target="https://ec.europa.eu/transport/sites/transport/files/3rd-mobility-pack/swd20180179-exec-summ-ia.pdf" TargetMode="External"/><Relationship Id="rId115" Type="http://schemas.openxmlformats.org/officeDocument/2006/relationships/hyperlink" Target="https://ec.europa.eu/transport/sites/transport/files/3rd-mobility-pack/com20180296-annex.pdf" TargetMode="External"/><Relationship Id="rId131" Type="http://schemas.openxmlformats.org/officeDocument/2006/relationships/hyperlink" Target="https://eur-lex.europa.eu/resource.html?uri=cellar:f38df734-59da-11e8-ab41-01aa75ed71a1.0001.02/DOC_2&amp;format=PDF" TargetMode="External"/><Relationship Id="rId136" Type="http://schemas.openxmlformats.org/officeDocument/2006/relationships/header" Target="header3.xml"/><Relationship Id="rId61" Type="http://schemas.openxmlformats.org/officeDocument/2006/relationships/hyperlink" Target="http://eur-lex.europa.eu/legal-content/EN/TXT/?uri=COM:2018:284:FIN" TargetMode="External"/><Relationship Id="rId82" Type="http://schemas.openxmlformats.org/officeDocument/2006/relationships/hyperlink" Target="https://ec.europa.eu/transport/sites/transport/files/2014-12-eval-directive-2008-96-ec.pdf" TargetMode="External"/><Relationship Id="rId19" Type="http://schemas.openxmlformats.org/officeDocument/2006/relationships/hyperlink" Target="https://ec.europa.eu/transport/sites/transport/files/3rd-mobility-pack/com20180274-annex_en.pdf" TargetMode="External"/><Relationship Id="rId14" Type="http://schemas.openxmlformats.org/officeDocument/2006/relationships/hyperlink" Target="https://ec.europa.eu/transport/sites/transport/files/3rd-mobility-pack/com20180330-communication.pdf" TargetMode="External"/><Relationship Id="rId30" Type="http://schemas.openxmlformats.org/officeDocument/2006/relationships/hyperlink" Target="https://ec.europa.eu/transport/sites/transport/files/3rd-mobility-pack/swd20180182-exec-summ-ia.pdf" TargetMode="External"/><Relationship Id="rId35" Type="http://schemas.openxmlformats.org/officeDocument/2006/relationships/hyperlink" Target="https://ec.europa.eu/transport/sites/transport/files/3rd-mobility-pack/swd20180232-ex-post-eval.pdf" TargetMode="External"/><Relationship Id="rId56" Type="http://schemas.openxmlformats.org/officeDocument/2006/relationships/hyperlink" Target="https://ec.europa.eu/transport/sites/transport/files/3rd-mobility-pack/swd20180189-ia-part2.pdf" TargetMode="External"/><Relationship Id="rId77" Type="http://schemas.openxmlformats.org/officeDocument/2006/relationships/hyperlink" Target="https://ec.europa.eu/transport/sites/transport/files/3rd-mobility-pack/com20180274-proposal_en.pdf" TargetMode="External"/><Relationship Id="rId100" Type="http://schemas.openxmlformats.org/officeDocument/2006/relationships/hyperlink" Target="https://ec.europa.eu/transport/sites/transport/files/3rd-mobility-pack/swd20180234-eval.pdf" TargetMode="External"/><Relationship Id="rId105" Type="http://schemas.openxmlformats.org/officeDocument/2006/relationships/hyperlink" Target="https://ec.europa.eu/transport/sites/transport/files/3rd-mobility-pack/swd20180183-ia-part2.pdf" TargetMode="External"/><Relationship Id="rId126" Type="http://schemas.openxmlformats.org/officeDocument/2006/relationships/hyperlink" Target="http://eur-lex.europa.eu/legal-content/EN/TXT/?uri=SWD:2018:186:FI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611D-2661-428C-B25E-A392C284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36</Pages>
  <Words>15156</Words>
  <Characters>89426</Characters>
  <Application>Microsoft Office Word</Application>
  <DocSecurity>0</DocSecurity>
  <Lines>745</Lines>
  <Paragraphs>208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Foom</dc:creator>
  <cp:lastModifiedBy>Šebesta Jan (SPCR)</cp:lastModifiedBy>
  <cp:revision>122</cp:revision>
  <dcterms:created xsi:type="dcterms:W3CDTF">2018-01-03T16:25:00Z</dcterms:created>
  <dcterms:modified xsi:type="dcterms:W3CDTF">2018-07-11T14:55:00Z</dcterms:modified>
</cp:coreProperties>
</file>