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C9" w:rsidRDefault="005C0919" w:rsidP="005C0919">
      <w:pPr>
        <w:pStyle w:val="Nadpis1"/>
      </w:pPr>
      <w:r>
        <w:t>519. Plenární zasedání EHSV</w:t>
      </w:r>
    </w:p>
    <w:p w:rsidR="005C0919" w:rsidRDefault="005C0919" w:rsidP="00F724D6">
      <w:pPr>
        <w:rPr>
          <w:b/>
          <w:bCs/>
        </w:rPr>
      </w:pPr>
      <w:r w:rsidRPr="00F724D6">
        <w:rPr>
          <w:b/>
          <w:bCs/>
        </w:rPr>
        <w:t>Předse</w:t>
      </w:r>
      <w:r w:rsidR="00F724D6" w:rsidRPr="00F724D6">
        <w:rPr>
          <w:b/>
          <w:bCs/>
        </w:rPr>
        <w:t xml:space="preserve">da EK </w:t>
      </w:r>
      <w:proofErr w:type="spellStart"/>
      <w:r w:rsidR="00F724D6" w:rsidRPr="00F724D6">
        <w:rPr>
          <w:b/>
          <w:bCs/>
        </w:rPr>
        <w:t>Juncker</w:t>
      </w:r>
      <w:proofErr w:type="spellEnd"/>
      <w:r w:rsidR="00F724D6" w:rsidRPr="00F724D6">
        <w:rPr>
          <w:b/>
          <w:bCs/>
        </w:rPr>
        <w:t xml:space="preserve"> o stavu </w:t>
      </w:r>
      <w:r w:rsidR="002E19BA">
        <w:rPr>
          <w:b/>
          <w:bCs/>
        </w:rPr>
        <w:t>Unie</w:t>
      </w:r>
      <w:r w:rsidR="00A30124">
        <w:rPr>
          <w:b/>
          <w:bCs/>
        </w:rPr>
        <w:t>: zapomínáme na úspěchy!</w:t>
      </w:r>
    </w:p>
    <w:p w:rsidR="00F724D6" w:rsidRPr="002E19BA" w:rsidRDefault="00F724D6" w:rsidP="002E19BA">
      <w:pPr>
        <w:spacing w:line="240" w:lineRule="auto"/>
        <w:jc w:val="both"/>
        <w:rPr>
          <w:rFonts w:cstheme="minorHAnsi"/>
        </w:rPr>
      </w:pPr>
      <w:r w:rsidRPr="002E19BA">
        <w:rPr>
          <w:rFonts w:cstheme="minorHAnsi"/>
        </w:rPr>
        <w:t xml:space="preserve">Ve dnech 21. – 22. 9. 2016 se konalo 519. Plenární zasedání EHSV. Pozvání k diskusi o stavu Evropské </w:t>
      </w:r>
      <w:proofErr w:type="gramStart"/>
      <w:r w:rsidRPr="002E19BA">
        <w:rPr>
          <w:rFonts w:cstheme="minorHAnsi"/>
        </w:rPr>
        <w:t>unie  přijal</w:t>
      </w:r>
      <w:proofErr w:type="gramEnd"/>
      <w:r w:rsidRPr="002E19BA">
        <w:rPr>
          <w:rFonts w:cstheme="minorHAnsi"/>
        </w:rPr>
        <w:t xml:space="preserve"> předseda Evropské komise </w:t>
      </w:r>
      <w:proofErr w:type="spellStart"/>
      <w:r w:rsidRPr="002E19BA">
        <w:rPr>
          <w:rFonts w:cstheme="minorHAnsi"/>
        </w:rPr>
        <w:t>Jean</w:t>
      </w:r>
      <w:proofErr w:type="spellEnd"/>
      <w:r w:rsidRPr="002E19BA">
        <w:rPr>
          <w:rFonts w:cstheme="minorHAnsi"/>
        </w:rPr>
        <w:t>-</w:t>
      </w:r>
      <w:proofErr w:type="spellStart"/>
      <w:r w:rsidRPr="002E19BA">
        <w:rPr>
          <w:rFonts w:cstheme="minorHAnsi"/>
        </w:rPr>
        <w:t>Claude</w:t>
      </w:r>
      <w:proofErr w:type="spellEnd"/>
      <w:r w:rsidRPr="002E19BA">
        <w:rPr>
          <w:rFonts w:cstheme="minorHAnsi"/>
        </w:rPr>
        <w:t xml:space="preserve"> </w:t>
      </w:r>
      <w:proofErr w:type="spellStart"/>
      <w:r w:rsidRPr="002E19BA">
        <w:rPr>
          <w:rFonts w:cstheme="minorHAnsi"/>
        </w:rPr>
        <w:t>Juncker</w:t>
      </w:r>
      <w:proofErr w:type="spellEnd"/>
      <w:r w:rsidRPr="002E19BA">
        <w:rPr>
          <w:rFonts w:cstheme="minorHAnsi"/>
        </w:rPr>
        <w:t xml:space="preserve">. V diskusi vystoupili i lídři evropských sociálních partnerů </w:t>
      </w:r>
      <w:proofErr w:type="spellStart"/>
      <w:r w:rsidRPr="002E19BA">
        <w:rPr>
          <w:rFonts w:cstheme="minorHAnsi"/>
          <w:b/>
        </w:rPr>
        <w:t>Markus</w:t>
      </w:r>
      <w:proofErr w:type="spellEnd"/>
      <w:r w:rsidRPr="002E19BA">
        <w:rPr>
          <w:rFonts w:cstheme="minorHAnsi"/>
          <w:b/>
        </w:rPr>
        <w:t xml:space="preserve"> BEYRER</w:t>
      </w:r>
      <w:r w:rsidRPr="002E19BA">
        <w:rPr>
          <w:rFonts w:cstheme="minorHAnsi"/>
        </w:rPr>
        <w:t xml:space="preserve">, generální ředitel </w:t>
      </w:r>
      <w:proofErr w:type="spellStart"/>
      <w:r w:rsidRPr="002E19BA">
        <w:rPr>
          <w:rFonts w:cstheme="minorHAnsi"/>
        </w:rPr>
        <w:t>BusinessEurope</w:t>
      </w:r>
      <w:proofErr w:type="spellEnd"/>
      <w:r w:rsidRPr="002E19BA">
        <w:rPr>
          <w:rFonts w:cstheme="minorHAnsi"/>
        </w:rPr>
        <w:t xml:space="preserve"> a </w:t>
      </w:r>
      <w:proofErr w:type="spellStart"/>
      <w:r w:rsidRPr="002E19BA">
        <w:rPr>
          <w:rFonts w:cstheme="minorHAnsi"/>
          <w:b/>
        </w:rPr>
        <w:t>Luca</w:t>
      </w:r>
      <w:proofErr w:type="spellEnd"/>
      <w:r w:rsidRPr="002E19BA">
        <w:rPr>
          <w:rFonts w:cstheme="minorHAnsi"/>
          <w:b/>
        </w:rPr>
        <w:t> VISENTINI</w:t>
      </w:r>
      <w:r w:rsidRPr="002E19BA">
        <w:rPr>
          <w:rFonts w:cstheme="minorHAnsi"/>
        </w:rPr>
        <w:t xml:space="preserve">, generální tajemník  ETUC. Hostem zasedání byl i </w:t>
      </w:r>
      <w:proofErr w:type="spellStart"/>
      <w:r w:rsidRPr="002E19BA">
        <w:rPr>
          <w:rFonts w:cstheme="minorHAnsi"/>
          <w:b/>
        </w:rPr>
        <w:t>Conny</w:t>
      </w:r>
      <w:proofErr w:type="spellEnd"/>
      <w:r w:rsidRPr="002E19BA">
        <w:rPr>
          <w:rFonts w:cstheme="minorHAnsi"/>
          <w:b/>
        </w:rPr>
        <w:t xml:space="preserve"> REUTER</w:t>
      </w:r>
      <w:r w:rsidRPr="002E19BA">
        <w:rPr>
          <w:rFonts w:cstheme="minorHAnsi"/>
        </w:rPr>
        <w:t>, spolupředseda styčné skupiny s evropskými organizacemi a sítěmi občanské společnosti.</w:t>
      </w:r>
    </w:p>
    <w:p w:rsidR="00A30124" w:rsidRPr="00A30124" w:rsidRDefault="00A30124" w:rsidP="00A30124">
      <w:pPr>
        <w:pStyle w:val="FormtovanvHTML"/>
        <w:jc w:val="both"/>
        <w:rPr>
          <w:rFonts w:asciiTheme="minorHAnsi" w:hAnsiTheme="minorHAnsi" w:cstheme="minorHAnsi"/>
          <w:i/>
          <w:iCs/>
          <w:sz w:val="22"/>
          <w:szCs w:val="22"/>
        </w:rPr>
      </w:pPr>
      <w:r w:rsidRPr="00A30124">
        <w:rPr>
          <w:rFonts w:asciiTheme="minorHAnsi" w:hAnsiTheme="minorHAnsi" w:cstheme="minorHAnsi"/>
          <w:sz w:val="22"/>
          <w:szCs w:val="22"/>
        </w:rPr>
        <w:t xml:space="preserve">Předseda </w:t>
      </w:r>
      <w:proofErr w:type="spellStart"/>
      <w:r w:rsidRPr="00A30124">
        <w:rPr>
          <w:rFonts w:asciiTheme="minorHAnsi" w:hAnsiTheme="minorHAnsi" w:cstheme="minorHAnsi"/>
          <w:sz w:val="22"/>
          <w:szCs w:val="22"/>
        </w:rPr>
        <w:t>Juncker</w:t>
      </w:r>
      <w:proofErr w:type="spellEnd"/>
      <w:r>
        <w:rPr>
          <w:rFonts w:asciiTheme="minorHAnsi" w:hAnsiTheme="minorHAnsi" w:cstheme="minorHAnsi"/>
          <w:sz w:val="22"/>
          <w:szCs w:val="22"/>
        </w:rPr>
        <w:t xml:space="preserve"> </w:t>
      </w:r>
      <w:r w:rsidRPr="00A30124">
        <w:rPr>
          <w:rFonts w:asciiTheme="minorHAnsi" w:hAnsiTheme="minorHAnsi" w:cstheme="minorHAnsi"/>
          <w:sz w:val="22"/>
          <w:szCs w:val="22"/>
        </w:rPr>
        <w:t xml:space="preserve">v úvodu konstatoval:  </w:t>
      </w:r>
      <w:r>
        <w:rPr>
          <w:rFonts w:asciiTheme="minorHAnsi" w:hAnsiTheme="minorHAnsi" w:cstheme="minorHAnsi"/>
          <w:sz w:val="22"/>
          <w:szCs w:val="22"/>
        </w:rPr>
        <w:t>„</w:t>
      </w:r>
      <w:r w:rsidRPr="00576390">
        <w:rPr>
          <w:rFonts w:asciiTheme="minorHAnsi" w:hAnsiTheme="minorHAnsi" w:cstheme="minorHAnsi"/>
          <w:b/>
          <w:bCs/>
          <w:i/>
          <w:iCs/>
          <w:sz w:val="22"/>
          <w:szCs w:val="22"/>
        </w:rPr>
        <w:t>Evropa se nebezpečně rozděluje. Často zapomínáme na její úspěchy.</w:t>
      </w:r>
      <w:r w:rsidR="00576390" w:rsidRPr="00576390">
        <w:rPr>
          <w:rFonts w:asciiTheme="minorHAnsi" w:hAnsiTheme="minorHAnsi" w:cstheme="minorHAnsi"/>
          <w:b/>
          <w:bCs/>
          <w:i/>
          <w:iCs/>
          <w:sz w:val="22"/>
          <w:szCs w:val="22"/>
        </w:rPr>
        <w:t xml:space="preserve"> </w:t>
      </w:r>
      <w:r w:rsidRPr="00576390">
        <w:rPr>
          <w:rFonts w:asciiTheme="minorHAnsi" w:hAnsiTheme="minorHAnsi" w:cstheme="minorHAnsi"/>
          <w:b/>
          <w:bCs/>
          <w:i/>
          <w:iCs/>
          <w:sz w:val="22"/>
          <w:szCs w:val="22"/>
        </w:rPr>
        <w:t xml:space="preserve">EU vytvořila 8 </w:t>
      </w:r>
      <w:r w:rsidRPr="00A30124">
        <w:rPr>
          <w:rFonts w:asciiTheme="minorHAnsi" w:hAnsiTheme="minorHAnsi" w:cstheme="minorHAnsi"/>
          <w:b/>
          <w:bCs/>
          <w:i/>
          <w:iCs/>
          <w:sz w:val="22"/>
          <w:szCs w:val="22"/>
        </w:rPr>
        <w:t>milionů pracovních míst.</w:t>
      </w:r>
      <w:r w:rsidRPr="00576390">
        <w:rPr>
          <w:rFonts w:asciiTheme="minorHAnsi" w:hAnsiTheme="minorHAnsi" w:cstheme="minorHAnsi"/>
          <w:b/>
          <w:bCs/>
          <w:i/>
          <w:iCs/>
          <w:sz w:val="22"/>
          <w:szCs w:val="22"/>
        </w:rPr>
        <w:t xml:space="preserve"> V roce 2009 byl průměrný</w:t>
      </w:r>
      <w:r w:rsidRPr="00A30124">
        <w:rPr>
          <w:rFonts w:asciiTheme="minorHAnsi" w:hAnsiTheme="minorHAnsi" w:cstheme="minorHAnsi"/>
          <w:b/>
          <w:bCs/>
          <w:i/>
          <w:iCs/>
          <w:sz w:val="22"/>
          <w:szCs w:val="22"/>
        </w:rPr>
        <w:t xml:space="preserve"> deficit</w:t>
      </w:r>
      <w:r w:rsidRPr="00576390">
        <w:rPr>
          <w:rFonts w:asciiTheme="minorHAnsi" w:hAnsiTheme="minorHAnsi" w:cstheme="minorHAnsi"/>
          <w:b/>
          <w:bCs/>
          <w:i/>
          <w:iCs/>
          <w:sz w:val="22"/>
          <w:szCs w:val="22"/>
        </w:rPr>
        <w:t xml:space="preserve"> růstu</w:t>
      </w:r>
      <w:r w:rsidRPr="00A30124">
        <w:rPr>
          <w:rFonts w:asciiTheme="minorHAnsi" w:hAnsiTheme="minorHAnsi" w:cstheme="minorHAnsi"/>
          <w:b/>
          <w:bCs/>
          <w:i/>
          <w:iCs/>
          <w:sz w:val="22"/>
          <w:szCs w:val="22"/>
        </w:rPr>
        <w:t xml:space="preserve"> 6,6%, dnes je to 1,9</w:t>
      </w:r>
      <w:r w:rsidRPr="00576390">
        <w:rPr>
          <w:rFonts w:asciiTheme="minorHAnsi" w:hAnsiTheme="minorHAnsi" w:cstheme="minorHAnsi"/>
          <w:b/>
          <w:bCs/>
          <w:i/>
          <w:iCs/>
          <w:sz w:val="22"/>
          <w:szCs w:val="22"/>
        </w:rPr>
        <w:t>%</w:t>
      </w:r>
      <w:r w:rsidRPr="00A30124">
        <w:rPr>
          <w:rFonts w:asciiTheme="minorHAnsi" w:hAnsiTheme="minorHAnsi" w:cstheme="minorHAnsi"/>
          <w:b/>
          <w:bCs/>
          <w:i/>
          <w:iCs/>
          <w:sz w:val="22"/>
          <w:szCs w:val="22"/>
        </w:rPr>
        <w:t>.</w:t>
      </w:r>
      <w:r w:rsidRPr="00576390">
        <w:rPr>
          <w:rFonts w:asciiTheme="minorHAnsi" w:hAnsiTheme="minorHAnsi" w:cstheme="minorHAnsi"/>
          <w:b/>
          <w:bCs/>
          <w:i/>
          <w:iCs/>
          <w:sz w:val="22"/>
          <w:szCs w:val="22"/>
        </w:rPr>
        <w:t xml:space="preserve"> </w:t>
      </w:r>
      <w:r w:rsidRPr="00A30124">
        <w:rPr>
          <w:rFonts w:asciiTheme="minorHAnsi" w:hAnsiTheme="minorHAnsi" w:cstheme="minorHAnsi"/>
          <w:b/>
          <w:bCs/>
          <w:i/>
          <w:iCs/>
          <w:sz w:val="22"/>
          <w:szCs w:val="22"/>
        </w:rPr>
        <w:t>Konsolidace veřejných financí</w:t>
      </w:r>
      <w:r w:rsidRPr="00576390">
        <w:rPr>
          <w:rFonts w:asciiTheme="minorHAnsi" w:hAnsiTheme="minorHAnsi" w:cstheme="minorHAnsi"/>
          <w:b/>
          <w:bCs/>
          <w:i/>
          <w:iCs/>
          <w:sz w:val="22"/>
          <w:szCs w:val="22"/>
        </w:rPr>
        <w:t xml:space="preserve"> </w:t>
      </w:r>
      <w:r w:rsidRPr="00A30124">
        <w:rPr>
          <w:rFonts w:asciiTheme="minorHAnsi" w:hAnsiTheme="minorHAnsi" w:cstheme="minorHAnsi"/>
          <w:b/>
          <w:bCs/>
          <w:i/>
          <w:iCs/>
          <w:sz w:val="22"/>
          <w:szCs w:val="22"/>
        </w:rPr>
        <w:t>probíhá dobře.</w:t>
      </w:r>
      <w:r w:rsidRPr="00576390">
        <w:rPr>
          <w:rFonts w:asciiTheme="minorHAnsi" w:hAnsiTheme="minorHAnsi" w:cstheme="minorHAnsi"/>
          <w:b/>
          <w:bCs/>
          <w:i/>
          <w:iCs/>
          <w:sz w:val="22"/>
          <w:szCs w:val="22"/>
        </w:rPr>
        <w:t xml:space="preserve"> </w:t>
      </w:r>
      <w:r w:rsidRPr="00A30124">
        <w:rPr>
          <w:rFonts w:asciiTheme="minorHAnsi" w:hAnsiTheme="minorHAnsi" w:cstheme="minorHAnsi"/>
          <w:b/>
          <w:bCs/>
          <w:i/>
          <w:iCs/>
          <w:sz w:val="22"/>
          <w:szCs w:val="22"/>
        </w:rPr>
        <w:t>3,5 milionu pracovních míst může být vytvořen</w:t>
      </w:r>
      <w:r w:rsidRPr="00576390">
        <w:rPr>
          <w:rFonts w:asciiTheme="minorHAnsi" w:hAnsiTheme="minorHAnsi" w:cstheme="minorHAnsi"/>
          <w:b/>
          <w:bCs/>
          <w:i/>
          <w:iCs/>
          <w:sz w:val="22"/>
          <w:szCs w:val="22"/>
        </w:rPr>
        <w:t xml:space="preserve">o prostřednictvím digitalizace. V </w:t>
      </w:r>
      <w:r w:rsidRPr="00A30124">
        <w:rPr>
          <w:rFonts w:asciiTheme="minorHAnsi" w:hAnsiTheme="minorHAnsi" w:cstheme="minorHAnsi"/>
          <w:b/>
          <w:bCs/>
          <w:i/>
          <w:iCs/>
          <w:sz w:val="22"/>
          <w:szCs w:val="22"/>
        </w:rPr>
        <w:t>polovině roku 2017 doufáme ve vytvoření digitálního jednotného trhu.</w:t>
      </w:r>
      <w:r w:rsidRPr="00576390">
        <w:rPr>
          <w:rFonts w:asciiTheme="minorHAnsi" w:hAnsiTheme="minorHAnsi" w:cstheme="minorHAnsi"/>
          <w:b/>
          <w:bCs/>
          <w:i/>
          <w:iCs/>
          <w:sz w:val="22"/>
          <w:szCs w:val="22"/>
        </w:rPr>
        <w:t>“</w:t>
      </w:r>
    </w:p>
    <w:p w:rsidR="00A30124" w:rsidRPr="00A30124" w:rsidRDefault="00A30124" w:rsidP="00A3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cs-CZ"/>
        </w:rPr>
      </w:pPr>
    </w:p>
    <w:p w:rsidR="00A30124" w:rsidRPr="00A30124" w:rsidRDefault="00A30124" w:rsidP="0057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bCs/>
          <w:i/>
          <w:iCs/>
          <w:color w:val="000000"/>
          <w:lang w:eastAsia="cs-CZ"/>
        </w:rPr>
      </w:pPr>
      <w:proofErr w:type="spellStart"/>
      <w:r w:rsidRPr="00A30124">
        <w:rPr>
          <w:rFonts w:eastAsia="Times New Roman" w:cstheme="minorHAnsi"/>
          <w:color w:val="000000"/>
          <w:lang w:eastAsia="cs-CZ"/>
        </w:rPr>
        <w:t>Markus</w:t>
      </w:r>
      <w:proofErr w:type="spellEnd"/>
      <w:r w:rsidRPr="00A30124">
        <w:rPr>
          <w:rFonts w:eastAsia="Times New Roman" w:cstheme="minorHAnsi"/>
          <w:color w:val="000000"/>
          <w:lang w:eastAsia="cs-CZ"/>
        </w:rPr>
        <w:t xml:space="preserve"> </w:t>
      </w:r>
      <w:proofErr w:type="spellStart"/>
      <w:r w:rsidRPr="00A30124">
        <w:rPr>
          <w:rFonts w:eastAsia="Times New Roman" w:cstheme="minorHAnsi"/>
          <w:color w:val="000000"/>
          <w:lang w:eastAsia="cs-CZ"/>
        </w:rPr>
        <w:t>Beyer</w:t>
      </w:r>
      <w:proofErr w:type="spellEnd"/>
      <w:r w:rsidR="00576390">
        <w:rPr>
          <w:rFonts w:eastAsia="Times New Roman" w:cstheme="minorHAnsi"/>
          <w:color w:val="000000"/>
          <w:lang w:eastAsia="cs-CZ"/>
        </w:rPr>
        <w:t xml:space="preserve"> reagoval slovy</w:t>
      </w:r>
      <w:r w:rsidRPr="00A30124">
        <w:rPr>
          <w:rFonts w:eastAsia="Times New Roman" w:cstheme="minorHAnsi"/>
          <w:color w:val="000000"/>
          <w:lang w:eastAsia="cs-CZ"/>
        </w:rPr>
        <w:t xml:space="preserve">: </w:t>
      </w:r>
      <w:r w:rsidR="00576390">
        <w:rPr>
          <w:rFonts w:eastAsia="Times New Roman" w:cstheme="minorHAnsi"/>
          <w:color w:val="000000"/>
          <w:lang w:eastAsia="cs-CZ"/>
        </w:rPr>
        <w:t>„</w:t>
      </w:r>
      <w:r w:rsidRPr="00A30124">
        <w:rPr>
          <w:rFonts w:eastAsia="Times New Roman" w:cstheme="minorHAnsi"/>
          <w:b/>
          <w:bCs/>
          <w:i/>
          <w:iCs/>
          <w:color w:val="000000"/>
          <w:lang w:eastAsia="cs-CZ"/>
        </w:rPr>
        <w:t>Evropská podnikatelská komunita věří v budoucnost Evropy.</w:t>
      </w:r>
      <w:r w:rsidR="00576390" w:rsidRPr="00576390">
        <w:rPr>
          <w:rFonts w:eastAsia="Times New Roman" w:cstheme="minorHAnsi"/>
          <w:b/>
          <w:bCs/>
          <w:i/>
          <w:iCs/>
          <w:color w:val="000000"/>
          <w:lang w:eastAsia="cs-CZ"/>
        </w:rPr>
        <w:t xml:space="preserve"> </w:t>
      </w:r>
      <w:r w:rsidRPr="00A30124">
        <w:rPr>
          <w:rFonts w:eastAsia="Times New Roman" w:cstheme="minorHAnsi"/>
          <w:b/>
          <w:bCs/>
          <w:i/>
          <w:iCs/>
          <w:color w:val="000000"/>
          <w:lang w:eastAsia="cs-CZ"/>
        </w:rPr>
        <w:t>Ale Evropa se</w:t>
      </w:r>
      <w:r w:rsidR="00576390">
        <w:rPr>
          <w:rFonts w:eastAsia="Times New Roman" w:cstheme="minorHAnsi"/>
          <w:b/>
          <w:bCs/>
          <w:i/>
          <w:iCs/>
          <w:color w:val="000000"/>
          <w:lang w:eastAsia="cs-CZ"/>
        </w:rPr>
        <w:t xml:space="preserve"> </w:t>
      </w:r>
      <w:r w:rsidRPr="00A30124">
        <w:rPr>
          <w:rFonts w:eastAsia="Times New Roman" w:cstheme="minorHAnsi"/>
          <w:b/>
          <w:bCs/>
          <w:i/>
          <w:iCs/>
          <w:color w:val="000000"/>
          <w:lang w:eastAsia="cs-CZ"/>
        </w:rPr>
        <w:t>musí přetvořit.</w:t>
      </w:r>
      <w:r w:rsidR="00576390">
        <w:rPr>
          <w:rFonts w:eastAsia="Times New Roman" w:cstheme="minorHAnsi"/>
          <w:b/>
          <w:bCs/>
          <w:i/>
          <w:iCs/>
          <w:color w:val="000000"/>
          <w:lang w:eastAsia="cs-CZ"/>
        </w:rPr>
        <w:t xml:space="preserve"> </w:t>
      </w:r>
      <w:r w:rsidRPr="00A30124">
        <w:rPr>
          <w:rFonts w:eastAsia="Times New Roman" w:cstheme="minorHAnsi"/>
          <w:b/>
          <w:bCs/>
          <w:i/>
          <w:iCs/>
          <w:color w:val="000000"/>
          <w:lang w:eastAsia="cs-CZ"/>
        </w:rPr>
        <w:t>Budeme očekávat od členských států, aby převzaly více odpovědnosti.</w:t>
      </w:r>
      <w:r w:rsidR="00576390" w:rsidRPr="00576390">
        <w:rPr>
          <w:rFonts w:eastAsia="Times New Roman" w:cstheme="minorHAnsi"/>
          <w:b/>
          <w:bCs/>
          <w:i/>
          <w:iCs/>
          <w:color w:val="000000"/>
          <w:lang w:eastAsia="cs-CZ"/>
        </w:rPr>
        <w:t>“</w:t>
      </w:r>
    </w:p>
    <w:p w:rsidR="00A30124" w:rsidRPr="00A30124" w:rsidRDefault="00A30124" w:rsidP="00A3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i/>
          <w:iCs/>
          <w:color w:val="000000"/>
          <w:lang w:eastAsia="cs-CZ"/>
        </w:rPr>
      </w:pPr>
    </w:p>
    <w:p w:rsidR="00A30124" w:rsidRPr="00576390" w:rsidRDefault="00A30124" w:rsidP="00576390">
      <w:pPr>
        <w:pStyle w:val="Odstavecseseznamem"/>
        <w:numPr>
          <w:ilvl w:val="0"/>
          <w:numId w:val="9"/>
        </w:numPr>
        <w:spacing w:line="240" w:lineRule="auto"/>
        <w:jc w:val="center"/>
        <w:rPr>
          <w:rFonts w:cstheme="minorHAnsi"/>
        </w:rPr>
      </w:pPr>
    </w:p>
    <w:p w:rsidR="00F724D6" w:rsidRPr="002E19BA" w:rsidRDefault="00F724D6" w:rsidP="002E19BA">
      <w:pPr>
        <w:spacing w:line="240" w:lineRule="auto"/>
        <w:jc w:val="both"/>
        <w:rPr>
          <w:rFonts w:cstheme="minorHAnsi"/>
        </w:rPr>
      </w:pPr>
      <w:r w:rsidRPr="002E19BA">
        <w:rPr>
          <w:rFonts w:cstheme="minorHAnsi"/>
        </w:rPr>
        <w:t>519. Plenární zasedání projednalo a přijalo tato stanoviska relevantní pro zaměstnavatele podnikatele:</w:t>
      </w:r>
    </w:p>
    <w:p w:rsidR="00601295" w:rsidRPr="002E19BA" w:rsidRDefault="00F724D6" w:rsidP="002E19BA">
      <w:pPr>
        <w:pStyle w:val="Odstavecseseznamem"/>
        <w:numPr>
          <w:ilvl w:val="0"/>
          <w:numId w:val="1"/>
        </w:numPr>
        <w:spacing w:line="240" w:lineRule="auto"/>
        <w:jc w:val="both"/>
        <w:rPr>
          <w:rFonts w:cstheme="minorHAnsi"/>
          <w:b/>
          <w:bCs/>
        </w:rPr>
      </w:pPr>
      <w:r w:rsidRPr="002E19BA">
        <w:rPr>
          <w:rFonts w:cstheme="minorHAnsi"/>
          <w:b/>
          <w:bCs/>
        </w:rPr>
        <w:t xml:space="preserve">TEN/596 </w:t>
      </w:r>
      <w:r w:rsidR="00354213" w:rsidRPr="002E19BA">
        <w:rPr>
          <w:rFonts w:cstheme="minorHAnsi"/>
          <w:b/>
          <w:bCs/>
        </w:rPr>
        <w:t>Jaderný pilotní</w:t>
      </w:r>
      <w:r w:rsidRPr="002E19BA">
        <w:rPr>
          <w:rFonts w:cstheme="minorHAnsi"/>
          <w:b/>
          <w:bCs/>
        </w:rPr>
        <w:t xml:space="preserve"> program</w:t>
      </w:r>
    </w:p>
    <w:p w:rsidR="00601295" w:rsidRPr="002E19BA" w:rsidRDefault="00601295" w:rsidP="002E19BA">
      <w:pPr>
        <w:pStyle w:val="Odstavecseseznamem"/>
        <w:numPr>
          <w:ilvl w:val="0"/>
          <w:numId w:val="1"/>
        </w:numPr>
        <w:spacing w:line="240" w:lineRule="auto"/>
        <w:jc w:val="both"/>
        <w:rPr>
          <w:rFonts w:cstheme="minorHAnsi"/>
          <w:b/>
          <w:bCs/>
        </w:rPr>
      </w:pPr>
      <w:r w:rsidRPr="002E19BA">
        <w:rPr>
          <w:rFonts w:cstheme="minorHAnsi"/>
          <w:b/>
        </w:rPr>
        <w:t>TEN/594</w:t>
      </w:r>
      <w:r w:rsidRPr="002E19BA">
        <w:rPr>
          <w:rFonts w:cstheme="minorHAnsi"/>
          <w:b/>
          <w:bCs/>
        </w:rPr>
        <w:t xml:space="preserve"> </w:t>
      </w:r>
      <w:r w:rsidRPr="002E19BA">
        <w:rPr>
          <w:rFonts w:cstheme="minorHAnsi"/>
          <w:b/>
        </w:rPr>
        <w:t>Akční plán EU pro „</w:t>
      </w:r>
      <w:proofErr w:type="spellStart"/>
      <w:r w:rsidRPr="002E19BA">
        <w:rPr>
          <w:rFonts w:cstheme="minorHAnsi"/>
          <w:b/>
        </w:rPr>
        <w:t>eGovernment</w:t>
      </w:r>
      <w:proofErr w:type="spellEnd"/>
      <w:r w:rsidRPr="002E19BA">
        <w:rPr>
          <w:rFonts w:cstheme="minorHAnsi"/>
          <w:b/>
        </w:rPr>
        <w:t>“ na období 2016–2020</w:t>
      </w:r>
    </w:p>
    <w:p w:rsidR="00DF51DF" w:rsidRPr="002E19BA" w:rsidRDefault="00DF51DF" w:rsidP="002E19BA">
      <w:pPr>
        <w:pStyle w:val="Odstavecseseznamem"/>
        <w:keepNext/>
        <w:numPr>
          <w:ilvl w:val="0"/>
          <w:numId w:val="1"/>
        </w:numPr>
        <w:spacing w:line="240" w:lineRule="auto"/>
        <w:jc w:val="both"/>
        <w:rPr>
          <w:rFonts w:cstheme="minorHAnsi"/>
        </w:rPr>
      </w:pPr>
      <w:r w:rsidRPr="002E19BA">
        <w:rPr>
          <w:rFonts w:cstheme="minorHAnsi"/>
          <w:b/>
        </w:rPr>
        <w:t>TEN/593</w:t>
      </w:r>
      <w:r w:rsidR="00227832" w:rsidRPr="002E19BA">
        <w:rPr>
          <w:rFonts w:cstheme="minorHAnsi"/>
          <w:b/>
        </w:rPr>
        <w:t xml:space="preserve"> </w:t>
      </w:r>
      <w:r w:rsidR="002E19BA">
        <w:rPr>
          <w:rFonts w:cstheme="minorHAnsi"/>
          <w:b/>
        </w:rPr>
        <w:t>Priority pro normalizaci ICT</w:t>
      </w:r>
      <w:r w:rsidRPr="002E19BA">
        <w:rPr>
          <w:rFonts w:cstheme="minorHAnsi"/>
          <w:b/>
        </w:rPr>
        <w:t xml:space="preserve"> pro jednotný digitální trh</w:t>
      </w:r>
    </w:p>
    <w:p w:rsidR="00420844" w:rsidRPr="002E19BA" w:rsidRDefault="00227832" w:rsidP="002E19BA">
      <w:pPr>
        <w:pStyle w:val="Odstavecseseznamem"/>
        <w:numPr>
          <w:ilvl w:val="0"/>
          <w:numId w:val="1"/>
        </w:numPr>
        <w:spacing w:line="240" w:lineRule="auto"/>
        <w:jc w:val="both"/>
        <w:rPr>
          <w:rFonts w:cstheme="minorHAnsi"/>
        </w:rPr>
      </w:pPr>
      <w:r w:rsidRPr="002E19BA">
        <w:rPr>
          <w:rFonts w:cstheme="minorHAnsi"/>
          <w:b/>
        </w:rPr>
        <w:t>TEN/592</w:t>
      </w:r>
      <w:r w:rsidRPr="002E19BA">
        <w:rPr>
          <w:rFonts w:cstheme="minorHAnsi"/>
        </w:rPr>
        <w:t xml:space="preserve"> </w:t>
      </w:r>
      <w:r w:rsidRPr="002E19BA">
        <w:rPr>
          <w:rFonts w:cstheme="minorHAnsi"/>
          <w:b/>
        </w:rPr>
        <w:t>Evropská iniciativa v </w:t>
      </w:r>
      <w:r w:rsidR="00DF4F61" w:rsidRPr="002E19BA">
        <w:rPr>
          <w:rFonts w:cstheme="minorHAnsi"/>
          <w:b/>
        </w:rPr>
        <w:t xml:space="preserve">oblasti </w:t>
      </w:r>
      <w:proofErr w:type="spellStart"/>
      <w:r w:rsidR="00DF4F61" w:rsidRPr="002E19BA">
        <w:rPr>
          <w:rFonts w:cstheme="minorHAnsi"/>
          <w:b/>
        </w:rPr>
        <w:t>cloud</w:t>
      </w:r>
      <w:proofErr w:type="spellEnd"/>
      <w:r w:rsidR="00DF4F61" w:rsidRPr="002E19BA">
        <w:rPr>
          <w:rFonts w:cstheme="minorHAnsi"/>
          <w:b/>
        </w:rPr>
        <w:t xml:space="preserve"> </w:t>
      </w:r>
      <w:proofErr w:type="spellStart"/>
      <w:r w:rsidR="00DF4F61" w:rsidRPr="002E19BA">
        <w:rPr>
          <w:rFonts w:cstheme="minorHAnsi"/>
          <w:b/>
        </w:rPr>
        <w:t>computing</w:t>
      </w:r>
      <w:proofErr w:type="spellEnd"/>
    </w:p>
    <w:p w:rsidR="00DF4F61" w:rsidRPr="002E19BA" w:rsidRDefault="00DF4F61" w:rsidP="002E19BA">
      <w:pPr>
        <w:pStyle w:val="Odstavecseseznamem"/>
        <w:numPr>
          <w:ilvl w:val="0"/>
          <w:numId w:val="1"/>
        </w:numPr>
        <w:spacing w:line="240" w:lineRule="auto"/>
        <w:jc w:val="both"/>
        <w:rPr>
          <w:rFonts w:cstheme="minorHAnsi"/>
        </w:rPr>
      </w:pPr>
      <w:r w:rsidRPr="002E19BA">
        <w:rPr>
          <w:rFonts w:cstheme="minorHAnsi"/>
          <w:b/>
        </w:rPr>
        <w:t>TEN/589</w:t>
      </w:r>
      <w:r w:rsidR="00420844" w:rsidRPr="002E19BA">
        <w:rPr>
          <w:rFonts w:cstheme="minorHAnsi"/>
          <w:b/>
        </w:rPr>
        <w:t xml:space="preserve"> </w:t>
      </w:r>
      <w:r w:rsidRPr="002E19BA">
        <w:rPr>
          <w:rFonts w:cstheme="minorHAnsi"/>
          <w:b/>
        </w:rPr>
        <w:t>Strategie EU pro zkapalněný zemní plyn a skladování plynu</w:t>
      </w:r>
    </w:p>
    <w:p w:rsidR="00420844" w:rsidRPr="002E19BA" w:rsidRDefault="00420844" w:rsidP="002E19BA">
      <w:pPr>
        <w:pStyle w:val="Odstavecseseznamem"/>
        <w:numPr>
          <w:ilvl w:val="0"/>
          <w:numId w:val="1"/>
        </w:numPr>
        <w:spacing w:line="240" w:lineRule="auto"/>
        <w:jc w:val="both"/>
        <w:rPr>
          <w:rFonts w:cstheme="minorHAnsi"/>
        </w:rPr>
      </w:pPr>
      <w:r w:rsidRPr="002E19BA">
        <w:rPr>
          <w:rFonts w:cstheme="minorHAnsi"/>
          <w:b/>
        </w:rPr>
        <w:t>TEN/588</w:t>
      </w:r>
      <w:r w:rsidRPr="002E19BA">
        <w:rPr>
          <w:rFonts w:cstheme="minorHAnsi"/>
        </w:rPr>
        <w:t xml:space="preserve"> </w:t>
      </w:r>
      <w:r w:rsidRPr="002E19BA">
        <w:rPr>
          <w:rFonts w:cstheme="minorHAnsi"/>
          <w:b/>
        </w:rPr>
        <w:t>Bezpečnost dodávek zemního plynu</w:t>
      </w:r>
    </w:p>
    <w:p w:rsidR="00B0501B" w:rsidRPr="002E19BA" w:rsidRDefault="00117AF8" w:rsidP="002E19BA">
      <w:pPr>
        <w:pStyle w:val="Odstavecseseznamem"/>
        <w:numPr>
          <w:ilvl w:val="0"/>
          <w:numId w:val="1"/>
        </w:numPr>
        <w:spacing w:line="240" w:lineRule="auto"/>
        <w:jc w:val="both"/>
        <w:rPr>
          <w:rFonts w:cstheme="minorHAnsi"/>
        </w:rPr>
      </w:pPr>
      <w:r w:rsidRPr="002E19BA">
        <w:rPr>
          <w:rFonts w:cstheme="minorHAnsi"/>
          <w:b/>
        </w:rPr>
        <w:t>SOC/545 Ochrana před k</w:t>
      </w:r>
      <w:r w:rsidR="00B0501B" w:rsidRPr="002E19BA">
        <w:rPr>
          <w:rFonts w:cstheme="minorHAnsi"/>
          <w:b/>
        </w:rPr>
        <w:t>arcinogenními chemickými látkami</w:t>
      </w:r>
    </w:p>
    <w:p w:rsidR="00CF37C7" w:rsidRPr="002E19BA" w:rsidRDefault="00B0501B" w:rsidP="002E19BA">
      <w:pPr>
        <w:pStyle w:val="Odstavecseseznamem"/>
        <w:numPr>
          <w:ilvl w:val="0"/>
          <w:numId w:val="1"/>
        </w:numPr>
        <w:spacing w:line="240" w:lineRule="auto"/>
        <w:jc w:val="both"/>
        <w:rPr>
          <w:rFonts w:cstheme="minorHAnsi"/>
        </w:rPr>
      </w:pPr>
      <w:r w:rsidRPr="002E19BA">
        <w:rPr>
          <w:rFonts w:cstheme="minorHAnsi"/>
          <w:b/>
        </w:rPr>
        <w:t>NAT/693</w:t>
      </w:r>
      <w:r w:rsidRPr="002E19BA">
        <w:rPr>
          <w:rFonts w:cstheme="minorHAnsi"/>
        </w:rPr>
        <w:t xml:space="preserve"> </w:t>
      </w:r>
      <w:r w:rsidRPr="002E19BA">
        <w:rPr>
          <w:rFonts w:cstheme="minorHAnsi"/>
          <w:b/>
        </w:rPr>
        <w:t>Udržitelný rozvoj – mapování vnitřních a vnějších politik EU</w:t>
      </w:r>
    </w:p>
    <w:p w:rsidR="00EE7C82" w:rsidRPr="002E19BA" w:rsidRDefault="00CF37C7" w:rsidP="002E19BA">
      <w:pPr>
        <w:pStyle w:val="Odstavecseseznamem"/>
        <w:numPr>
          <w:ilvl w:val="0"/>
          <w:numId w:val="1"/>
        </w:numPr>
        <w:spacing w:line="240" w:lineRule="auto"/>
        <w:jc w:val="both"/>
        <w:rPr>
          <w:rFonts w:cstheme="minorHAnsi"/>
        </w:rPr>
      </w:pPr>
      <w:r w:rsidRPr="002E19BA">
        <w:rPr>
          <w:rFonts w:cstheme="minorHAnsi"/>
          <w:b/>
        </w:rPr>
        <w:t>NAT/690</w:t>
      </w:r>
      <w:r w:rsidRPr="002E19BA">
        <w:rPr>
          <w:rFonts w:cstheme="minorHAnsi"/>
        </w:rPr>
        <w:t xml:space="preserve"> </w:t>
      </w:r>
      <w:r w:rsidRPr="002E19BA">
        <w:rPr>
          <w:rFonts w:cstheme="minorHAnsi"/>
          <w:b/>
        </w:rPr>
        <w:t>Po pařížské konferenci</w:t>
      </w:r>
    </w:p>
    <w:p w:rsidR="00EE7C82" w:rsidRPr="002E19BA" w:rsidRDefault="00EE7C82" w:rsidP="002E19BA">
      <w:pPr>
        <w:pStyle w:val="Odstavecseseznamem"/>
        <w:numPr>
          <w:ilvl w:val="0"/>
          <w:numId w:val="1"/>
        </w:numPr>
        <w:spacing w:line="240" w:lineRule="auto"/>
        <w:jc w:val="both"/>
        <w:rPr>
          <w:rFonts w:cstheme="minorHAnsi"/>
        </w:rPr>
      </w:pPr>
      <w:r w:rsidRPr="002E19BA">
        <w:rPr>
          <w:rFonts w:cstheme="minorHAnsi"/>
          <w:b/>
        </w:rPr>
        <w:t>REX/464</w:t>
      </w:r>
      <w:r w:rsidRPr="002E19BA">
        <w:rPr>
          <w:rFonts w:cstheme="minorHAnsi"/>
        </w:rPr>
        <w:t xml:space="preserve"> </w:t>
      </w:r>
      <w:r w:rsidRPr="002E19BA">
        <w:rPr>
          <w:rFonts w:cstheme="minorHAnsi"/>
          <w:b/>
        </w:rPr>
        <w:t>Postoj EHSV, pokud jde o konkrétní klíčové otázky TTIP</w:t>
      </w:r>
    </w:p>
    <w:p w:rsidR="00354213" w:rsidRPr="002E19BA" w:rsidRDefault="00354213" w:rsidP="002E19BA">
      <w:pPr>
        <w:pStyle w:val="Odstavecseseznamem"/>
        <w:keepNext/>
        <w:keepLines/>
        <w:spacing w:line="240" w:lineRule="auto"/>
        <w:jc w:val="both"/>
        <w:rPr>
          <w:rFonts w:cstheme="minorHAnsi"/>
        </w:rPr>
      </w:pPr>
    </w:p>
    <w:p w:rsidR="00F724D6" w:rsidRPr="002E19BA" w:rsidRDefault="00F724D6" w:rsidP="002E19BA">
      <w:pPr>
        <w:pStyle w:val="Odstavecseseznamem"/>
        <w:numPr>
          <w:ilvl w:val="0"/>
          <w:numId w:val="8"/>
        </w:numPr>
        <w:spacing w:line="240" w:lineRule="auto"/>
        <w:jc w:val="center"/>
        <w:rPr>
          <w:rFonts w:cstheme="minorHAnsi"/>
        </w:rPr>
      </w:pPr>
    </w:p>
    <w:p w:rsidR="00F724D6" w:rsidRPr="002E19BA" w:rsidRDefault="00F724D6" w:rsidP="002E19BA">
      <w:pPr>
        <w:spacing w:line="240" w:lineRule="auto"/>
        <w:jc w:val="both"/>
        <w:rPr>
          <w:rFonts w:cstheme="minorHAnsi"/>
        </w:rPr>
      </w:pPr>
      <w:r w:rsidRPr="002E19BA">
        <w:rPr>
          <w:rFonts w:cstheme="minorHAnsi"/>
        </w:rPr>
        <w:t>Blíže ke stanoviskům přijatým na 519. Plenárním zasedání EHSV 21. – 22. 9. 2016.</w:t>
      </w:r>
    </w:p>
    <w:p w:rsidR="00354213" w:rsidRPr="002E19BA" w:rsidRDefault="00354213" w:rsidP="002E19BA">
      <w:pPr>
        <w:pStyle w:val="Odstavecseseznamem"/>
        <w:numPr>
          <w:ilvl w:val="0"/>
          <w:numId w:val="2"/>
        </w:numPr>
        <w:spacing w:line="240" w:lineRule="auto"/>
        <w:jc w:val="both"/>
        <w:rPr>
          <w:rFonts w:cstheme="minorHAnsi"/>
          <w:b/>
          <w:bCs/>
        </w:rPr>
      </w:pPr>
      <w:r w:rsidRPr="002E19BA">
        <w:rPr>
          <w:rFonts w:cstheme="minorHAnsi"/>
          <w:b/>
          <w:bCs/>
        </w:rPr>
        <w:t>TEN/596 J</w:t>
      </w:r>
      <w:r w:rsidR="00601295" w:rsidRPr="002E19BA">
        <w:rPr>
          <w:rFonts w:cstheme="minorHAnsi"/>
          <w:b/>
          <w:bCs/>
        </w:rPr>
        <w:t>aderný pilotní</w:t>
      </w:r>
      <w:r w:rsidRPr="002E19BA">
        <w:rPr>
          <w:rFonts w:cstheme="minorHAnsi"/>
          <w:b/>
          <w:bCs/>
        </w:rPr>
        <w:t xml:space="preserve"> program</w:t>
      </w:r>
    </w:p>
    <w:p w:rsidR="002E19BA" w:rsidRDefault="00354213" w:rsidP="002E19BA">
      <w:pPr>
        <w:spacing w:line="240" w:lineRule="auto"/>
        <w:jc w:val="both"/>
        <w:rPr>
          <w:rFonts w:cstheme="minorHAnsi"/>
        </w:rPr>
      </w:pPr>
      <w:r w:rsidRPr="002E19BA">
        <w:rPr>
          <w:rFonts w:cstheme="minorHAnsi"/>
        </w:rPr>
        <w:t>Jaderná energie i nadále přispívá 27 % k výrobě elektřiny v Evropě a tvoří součást skladby zdrojů energie poloviny členských států EU. O skladbě zdrojů energie rozhodují členské státy, nicméně Evropská unie zastává podle Smlouvy o Euratomu řadu důležitých úkolů v oblasti jaderné energie. Jedním z těchto úkolů bylo</w:t>
      </w:r>
      <w:r w:rsidR="00601295" w:rsidRPr="002E19BA">
        <w:rPr>
          <w:rFonts w:cstheme="minorHAnsi"/>
        </w:rPr>
        <w:t xml:space="preserve"> vypracovat jaderný pilotní</w:t>
      </w:r>
      <w:r w:rsidRPr="002E19BA">
        <w:rPr>
          <w:rFonts w:cstheme="minorHAnsi"/>
        </w:rPr>
        <w:t xml:space="preserve"> program.</w:t>
      </w:r>
      <w:r w:rsidR="00420844" w:rsidRPr="002E19BA">
        <w:rPr>
          <w:rFonts w:cstheme="minorHAnsi"/>
        </w:rPr>
        <w:t xml:space="preserve"> </w:t>
      </w:r>
      <w:r w:rsidRPr="002E19BA">
        <w:rPr>
          <w:rFonts w:cstheme="minorHAnsi"/>
        </w:rPr>
        <w:t xml:space="preserve">Výbor se domnívá, že </w:t>
      </w:r>
      <w:r w:rsidR="00601295" w:rsidRPr="002E19BA">
        <w:rPr>
          <w:rFonts w:cstheme="minorHAnsi"/>
        </w:rPr>
        <w:t>Jaderný pilotní</w:t>
      </w:r>
      <w:r w:rsidRPr="002E19BA">
        <w:rPr>
          <w:rFonts w:cstheme="minorHAnsi"/>
        </w:rPr>
        <w:t xml:space="preserve"> program (PINC) nepředstavuje jasný a komplexní přístup, který by nabízel strategické řešení složité budoucnosti jaderné energie v evropské skladbě zdrojů energie. Výbor naléhavě vyzývá Komisi, aby navrhla jasný analytický postup a metodiku, které by představovaly ucelený a dobrovolný rámec pro rozhodování států o tom, jakou úlohu má či nemá jaderná energie ve skladbě zdrojů energie mít. EHSV proto požaduje revizi a doplnění návrhu sdělení tak, aby zahrnoval aspekty konkurenceschopnosti jaderné energie, bezpečnosti dodávek, změny klimatu a cílů, týkajících se uhlíku, přijetí ze strany veřejnosti, transparentnosti a efektivního vnitrostátního dialogu. </w:t>
      </w:r>
    </w:p>
    <w:p w:rsidR="002E19BA" w:rsidRDefault="00DF51DF" w:rsidP="002E19BA">
      <w:pPr>
        <w:spacing w:line="240" w:lineRule="auto"/>
        <w:jc w:val="both"/>
        <w:rPr>
          <w:rFonts w:cstheme="minorHAnsi"/>
        </w:rPr>
      </w:pPr>
      <w:r w:rsidRPr="002E19BA">
        <w:rPr>
          <w:rFonts w:cstheme="minorHAnsi"/>
          <w:b/>
        </w:rPr>
        <w:t>TEN/593</w:t>
      </w:r>
      <w:r w:rsidR="009F22CA" w:rsidRPr="002E19BA">
        <w:rPr>
          <w:rFonts w:cstheme="minorHAnsi"/>
          <w:b/>
        </w:rPr>
        <w:t xml:space="preserve"> </w:t>
      </w:r>
      <w:r w:rsidR="00966AA6" w:rsidRPr="002E19BA">
        <w:rPr>
          <w:rFonts w:cstheme="minorHAnsi"/>
          <w:b/>
        </w:rPr>
        <w:t>Priority pro normalizaci ICT</w:t>
      </w:r>
      <w:r w:rsidRPr="002E19BA">
        <w:rPr>
          <w:rFonts w:cstheme="minorHAnsi"/>
          <w:b/>
        </w:rPr>
        <w:t xml:space="preserve"> pro jednotný digitální trh</w:t>
      </w:r>
    </w:p>
    <w:p w:rsidR="00DF51DF" w:rsidRPr="002E19BA" w:rsidRDefault="00DF51DF" w:rsidP="002E19BA">
      <w:pPr>
        <w:spacing w:line="240" w:lineRule="auto"/>
        <w:jc w:val="both"/>
        <w:rPr>
          <w:rFonts w:cstheme="minorHAnsi"/>
        </w:rPr>
      </w:pPr>
      <w:r w:rsidRPr="002E19BA">
        <w:rPr>
          <w:rFonts w:cstheme="minorHAnsi"/>
        </w:rPr>
        <w:t>Transformace světového hospodářství na hospodářství digitální má dopad na všechna odvětví průmyslu a služeb. Konkurenceschopnost a produktivita Evropy zásadně závisejí na její schopnosti vytvářet, rozšiřovat a účinně zavádět digitální inovace ve všech odvětvích hospodářství, včetně tradičně silných evropských odvětví, jako jsou výroba automobilů, automatizace, strojní zařízení nebo finanční služby. Aby Evropská komise podpořila postavení Evropy ve světovém digitálním hospodářství, schválila sdělení o strategii pro jednotný digitální trh a tuto strategii vytyčila jako jednu z klíčových priorit.</w:t>
      </w:r>
    </w:p>
    <w:p w:rsidR="00DF51DF" w:rsidRPr="002E19BA" w:rsidRDefault="00DF51DF" w:rsidP="002E19BA">
      <w:pPr>
        <w:spacing w:line="240" w:lineRule="auto"/>
        <w:jc w:val="both"/>
        <w:rPr>
          <w:rFonts w:cstheme="minorHAnsi"/>
        </w:rPr>
      </w:pPr>
      <w:r w:rsidRPr="002E19BA">
        <w:rPr>
          <w:rFonts w:cstheme="minorHAnsi"/>
        </w:rPr>
        <w:lastRenderedPageBreak/>
        <w:t xml:space="preserve">Společné normy zajišťují </w:t>
      </w:r>
      <w:proofErr w:type="spellStart"/>
      <w:r w:rsidRPr="002E19BA">
        <w:rPr>
          <w:rFonts w:cstheme="minorHAnsi"/>
        </w:rPr>
        <w:t>interoperabilitu</w:t>
      </w:r>
      <w:proofErr w:type="spellEnd"/>
      <w:r w:rsidRPr="002E19BA">
        <w:rPr>
          <w:rFonts w:cstheme="minorHAnsi"/>
        </w:rPr>
        <w:t xml:space="preserve"> digitálních technologií a jsou základem účinného jednotného digitálního trhu. Zaručují, že technologie budou společně fungovat bezproblémově a spolehlivě, budou přinášet úspory z rozsahu, podporovat výzkum a inovace a udržovat trhy otevřené. Odlišné vnitrostátní normy mohou výrazně zpomalit inovace a znevýhodnit evropské podniky ve srovnání se zbytkem světa.</w:t>
      </w:r>
    </w:p>
    <w:p w:rsidR="00966AA6" w:rsidRPr="002E19BA" w:rsidRDefault="00966AA6" w:rsidP="002E19BA">
      <w:pPr>
        <w:spacing w:line="240" w:lineRule="auto"/>
        <w:jc w:val="both"/>
        <w:rPr>
          <w:rFonts w:cstheme="minorHAnsi"/>
        </w:rPr>
      </w:pPr>
      <w:r w:rsidRPr="002E19BA">
        <w:rPr>
          <w:rFonts w:cstheme="minorHAnsi"/>
        </w:rPr>
        <w:t>Sdělení EK vytyčuje komplexní strategický a politický přístup k normalizaci pro prioritní technologie ICT, které mají zásadní význam pro dokončení jednotného digitálního trhu. Cílem je zajistit, aby normy týkající se IKT lépe reagovaly na potřeby stanovených politik, aby byly pružné, otevřené, výrazněji spojené s výzkumem a inovacemi, lépe provázané, a aby tak měly větší dopad na širší evropské hospodářství při transformaci na hospodářství digitální. Toto sdělení vychází z nařízení (EU) č. 1025/2012 o evropské normalizaci a souvisí s plánovanou společnou iniciativou v oblasti normalizace, která je součástí širší strategie pro jednotný trh.</w:t>
      </w:r>
    </w:p>
    <w:p w:rsidR="00966AA6" w:rsidRPr="002E19BA" w:rsidRDefault="00966AA6" w:rsidP="002E19BA">
      <w:pPr>
        <w:spacing w:line="240" w:lineRule="auto"/>
        <w:jc w:val="both"/>
        <w:rPr>
          <w:rFonts w:cstheme="minorHAnsi"/>
        </w:rPr>
      </w:pPr>
      <w:r w:rsidRPr="002E19BA">
        <w:rPr>
          <w:rFonts w:cstheme="minorHAnsi"/>
          <w:b/>
        </w:rPr>
        <w:t>EHSV obecně vítá</w:t>
      </w:r>
      <w:r w:rsidRPr="002E19BA">
        <w:rPr>
          <w:rFonts w:cstheme="minorHAnsi"/>
        </w:rPr>
        <w:t xml:space="preserve"> dokument Komise, neboť poskytuje výchozí bod pro plány a iniciativy, které podpoří normalizaci ICT, a stanoví prioritní oblasti a zásadní činnosti a rovněž i harmonogram (plán).</w:t>
      </w:r>
    </w:p>
    <w:p w:rsidR="00227832" w:rsidRPr="002E19BA" w:rsidRDefault="00966AA6" w:rsidP="002E19BA">
      <w:pPr>
        <w:spacing w:line="240" w:lineRule="auto"/>
        <w:jc w:val="both"/>
        <w:rPr>
          <w:rFonts w:cstheme="minorHAnsi"/>
        </w:rPr>
      </w:pPr>
      <w:r w:rsidRPr="002E19BA">
        <w:rPr>
          <w:rFonts w:cstheme="minorHAnsi"/>
          <w:b/>
        </w:rPr>
        <w:t>EHSV má za to</w:t>
      </w:r>
      <w:r w:rsidRPr="002E19BA">
        <w:rPr>
          <w:rFonts w:cstheme="minorHAnsi"/>
        </w:rPr>
        <w:t>, že normalizace má pomoci ke zvýšení přidané hodnoty, zajistit pracovní místa ve všech oblastech a zlepšit míru blahobytu celé společnosti. Proto je obzvláště zapotřebí správně definovat prioritní oblasti, kde se má normalizace provádět, a to včetně odvětví informačních a komunikačních technologií (ICT), aby se vyřešily otázky, které ma</w:t>
      </w:r>
      <w:r w:rsidR="00227832" w:rsidRPr="002E19BA">
        <w:rPr>
          <w:rFonts w:cstheme="minorHAnsi"/>
        </w:rPr>
        <w:t>jí pro společnost značný dopad.</w:t>
      </w:r>
    </w:p>
    <w:p w:rsidR="00C479B2" w:rsidRPr="002E19BA" w:rsidRDefault="00227832" w:rsidP="002E19BA">
      <w:pPr>
        <w:pStyle w:val="Odstavecseseznamem"/>
        <w:numPr>
          <w:ilvl w:val="0"/>
          <w:numId w:val="2"/>
        </w:numPr>
        <w:spacing w:line="240" w:lineRule="auto"/>
        <w:jc w:val="both"/>
        <w:rPr>
          <w:rFonts w:cstheme="minorHAnsi"/>
        </w:rPr>
      </w:pPr>
      <w:r w:rsidRPr="002E19BA">
        <w:rPr>
          <w:rFonts w:cstheme="minorHAnsi"/>
          <w:b/>
        </w:rPr>
        <w:t>TEN/592</w:t>
      </w:r>
      <w:r w:rsidRPr="002E19BA">
        <w:rPr>
          <w:rFonts w:cstheme="minorHAnsi"/>
        </w:rPr>
        <w:t xml:space="preserve"> </w:t>
      </w:r>
      <w:r w:rsidRPr="002E19BA">
        <w:rPr>
          <w:rFonts w:cstheme="minorHAnsi"/>
          <w:b/>
        </w:rPr>
        <w:t xml:space="preserve">Evropská iniciativa v oblasti </w:t>
      </w:r>
      <w:proofErr w:type="spellStart"/>
      <w:r w:rsidRPr="002E19BA">
        <w:rPr>
          <w:rFonts w:cstheme="minorHAnsi"/>
          <w:b/>
        </w:rPr>
        <w:t>cloud</w:t>
      </w:r>
      <w:proofErr w:type="spellEnd"/>
      <w:r w:rsidRPr="002E19BA">
        <w:rPr>
          <w:rFonts w:cstheme="minorHAnsi"/>
          <w:b/>
        </w:rPr>
        <w:t xml:space="preserve"> </w:t>
      </w:r>
      <w:proofErr w:type="spellStart"/>
      <w:r w:rsidRPr="002E19BA">
        <w:rPr>
          <w:rFonts w:cstheme="minorHAnsi"/>
          <w:b/>
        </w:rPr>
        <w:t>computingu</w:t>
      </w:r>
      <w:proofErr w:type="spellEnd"/>
    </w:p>
    <w:p w:rsidR="00227832" w:rsidRPr="002E19BA" w:rsidRDefault="00227832" w:rsidP="009F2A68">
      <w:pPr>
        <w:spacing w:line="240" w:lineRule="auto"/>
        <w:jc w:val="both"/>
        <w:rPr>
          <w:rFonts w:cstheme="minorHAnsi"/>
        </w:rPr>
      </w:pPr>
      <w:r w:rsidRPr="002E19BA">
        <w:rPr>
          <w:rFonts w:cstheme="minorHAnsi"/>
        </w:rPr>
        <w:t xml:space="preserve">Cílem evropské iniciativy v oblasti </w:t>
      </w:r>
      <w:proofErr w:type="spellStart"/>
      <w:r w:rsidRPr="002E19BA">
        <w:rPr>
          <w:rFonts w:cstheme="minorHAnsi"/>
        </w:rPr>
        <w:t>cloud</w:t>
      </w:r>
      <w:proofErr w:type="spellEnd"/>
      <w:r w:rsidRPr="002E19BA">
        <w:rPr>
          <w:rFonts w:cstheme="minorHAnsi"/>
        </w:rPr>
        <w:t xml:space="preserve"> </w:t>
      </w:r>
      <w:proofErr w:type="spellStart"/>
      <w:r w:rsidRPr="002E19BA">
        <w:rPr>
          <w:rFonts w:cstheme="minorHAnsi"/>
        </w:rPr>
        <w:t>computingu</w:t>
      </w:r>
      <w:proofErr w:type="spellEnd"/>
      <w:r w:rsidRPr="002E19BA">
        <w:rPr>
          <w:rFonts w:cstheme="minorHAnsi"/>
        </w:rPr>
        <w:t xml:space="preserve"> je upevnit postavení Evropy v inovacích založených na datech, zlepšit konkurenceschopnost a soudržnost a pomoci vytvořit v Evropě jednotný digitální trh. Tato iniciativa poskytne evropské vědě, průmyslu a veřejným orgánům:</w:t>
      </w:r>
    </w:p>
    <w:p w:rsidR="00227832" w:rsidRPr="002E19BA" w:rsidRDefault="00227832" w:rsidP="002E19BA">
      <w:pPr>
        <w:numPr>
          <w:ilvl w:val="0"/>
          <w:numId w:val="4"/>
        </w:numPr>
        <w:tabs>
          <w:tab w:val="num" w:pos="567"/>
        </w:tabs>
        <w:spacing w:after="0" w:line="240" w:lineRule="auto"/>
        <w:ind w:hanging="720"/>
        <w:jc w:val="both"/>
        <w:rPr>
          <w:rFonts w:cstheme="minorHAnsi"/>
        </w:rPr>
      </w:pPr>
      <w:r w:rsidRPr="002E19BA">
        <w:rPr>
          <w:rFonts w:cstheme="minorHAnsi"/>
        </w:rPr>
        <w:t>datovou infrastrukturu pro ukládání a správu dat světové úrovně;</w:t>
      </w:r>
    </w:p>
    <w:p w:rsidR="00227832" w:rsidRPr="002E19BA" w:rsidRDefault="00227832" w:rsidP="002E19BA">
      <w:pPr>
        <w:numPr>
          <w:ilvl w:val="0"/>
          <w:numId w:val="4"/>
        </w:numPr>
        <w:tabs>
          <w:tab w:val="num" w:pos="567"/>
        </w:tabs>
        <w:spacing w:after="0" w:line="240" w:lineRule="auto"/>
        <w:ind w:hanging="720"/>
        <w:jc w:val="both"/>
        <w:rPr>
          <w:rFonts w:cstheme="minorHAnsi"/>
        </w:rPr>
      </w:pPr>
      <w:r w:rsidRPr="002E19BA">
        <w:rPr>
          <w:rFonts w:cstheme="minorHAnsi"/>
        </w:rPr>
        <w:t>vysokorychlostní připojení k údajům o dopravě;</w:t>
      </w:r>
    </w:p>
    <w:p w:rsidR="00227832" w:rsidRPr="002E19BA" w:rsidRDefault="00227832" w:rsidP="002E19BA">
      <w:pPr>
        <w:numPr>
          <w:ilvl w:val="0"/>
          <w:numId w:val="4"/>
        </w:numPr>
        <w:tabs>
          <w:tab w:val="num" w:pos="567"/>
        </w:tabs>
        <w:spacing w:after="0" w:line="240" w:lineRule="auto"/>
        <w:ind w:hanging="720"/>
        <w:jc w:val="both"/>
        <w:rPr>
          <w:rFonts w:cstheme="minorHAnsi"/>
        </w:rPr>
      </w:pPr>
      <w:r w:rsidRPr="002E19BA">
        <w:rPr>
          <w:rFonts w:cstheme="minorHAnsi"/>
        </w:rPr>
        <w:t>stále rychlejší vysoce výkonné počítače ke zpracování údajů.</w:t>
      </w:r>
    </w:p>
    <w:p w:rsidR="00227832" w:rsidRPr="002E19BA" w:rsidRDefault="00227832" w:rsidP="002E19BA">
      <w:pPr>
        <w:spacing w:after="0" w:line="240" w:lineRule="auto"/>
        <w:jc w:val="both"/>
        <w:rPr>
          <w:rFonts w:cstheme="minorHAnsi"/>
        </w:rPr>
      </w:pPr>
    </w:p>
    <w:p w:rsidR="00C479B2" w:rsidRPr="002E19BA" w:rsidRDefault="00227832" w:rsidP="002E19BA">
      <w:pPr>
        <w:pStyle w:val="Normlnweb"/>
        <w:spacing w:before="0" w:beforeAutospacing="0" w:after="0" w:afterAutospacing="0"/>
        <w:jc w:val="both"/>
        <w:rPr>
          <w:rFonts w:asciiTheme="minorHAnsi" w:hAnsiTheme="minorHAnsi" w:cstheme="minorHAnsi"/>
          <w:sz w:val="22"/>
          <w:szCs w:val="22"/>
        </w:rPr>
      </w:pPr>
      <w:r w:rsidRPr="002E19BA">
        <w:rPr>
          <w:rFonts w:asciiTheme="minorHAnsi" w:hAnsiTheme="minorHAnsi" w:cstheme="minorHAnsi"/>
          <w:sz w:val="22"/>
          <w:szCs w:val="22"/>
        </w:rPr>
        <w:t xml:space="preserve">Iniciativa v oblasti </w:t>
      </w:r>
      <w:proofErr w:type="spellStart"/>
      <w:r w:rsidRPr="002E19BA">
        <w:rPr>
          <w:rFonts w:asciiTheme="minorHAnsi" w:hAnsiTheme="minorHAnsi" w:cstheme="minorHAnsi"/>
          <w:sz w:val="22"/>
          <w:szCs w:val="22"/>
        </w:rPr>
        <w:t>cloud</w:t>
      </w:r>
      <w:proofErr w:type="spellEnd"/>
      <w:r w:rsidRPr="002E19BA">
        <w:rPr>
          <w:rFonts w:asciiTheme="minorHAnsi" w:hAnsiTheme="minorHAnsi" w:cstheme="minorHAnsi"/>
          <w:sz w:val="22"/>
          <w:szCs w:val="22"/>
        </w:rPr>
        <w:t xml:space="preserve"> </w:t>
      </w:r>
      <w:proofErr w:type="spellStart"/>
      <w:r w:rsidRPr="002E19BA">
        <w:rPr>
          <w:rFonts w:asciiTheme="minorHAnsi" w:hAnsiTheme="minorHAnsi" w:cstheme="minorHAnsi"/>
          <w:sz w:val="22"/>
          <w:szCs w:val="22"/>
        </w:rPr>
        <w:t>computingu</w:t>
      </w:r>
      <w:proofErr w:type="spellEnd"/>
      <w:r w:rsidRPr="002E19BA">
        <w:rPr>
          <w:rFonts w:asciiTheme="minorHAnsi" w:hAnsiTheme="minorHAnsi" w:cstheme="minorHAnsi"/>
          <w:sz w:val="22"/>
          <w:szCs w:val="22"/>
        </w:rPr>
        <w:t xml:space="preserve"> usnadní výzkumným pracovníkům, podnikům a veřejným službám plné využití výhod dat velkého objemu tím, že umožní bezproblémový přesun, sdílení a opakované použití dat na globálních trzích, přes hranice a mezi institucemi a výzkumnými obory.</w:t>
      </w:r>
    </w:p>
    <w:p w:rsidR="009F2A68" w:rsidRDefault="009F2A68" w:rsidP="002E19BA">
      <w:pPr>
        <w:spacing w:line="240" w:lineRule="auto"/>
        <w:jc w:val="both"/>
        <w:rPr>
          <w:rFonts w:cstheme="minorHAnsi"/>
        </w:rPr>
      </w:pPr>
    </w:p>
    <w:p w:rsidR="00227832" w:rsidRPr="002E19BA" w:rsidRDefault="00227832" w:rsidP="002E19BA">
      <w:pPr>
        <w:spacing w:line="240" w:lineRule="auto"/>
        <w:jc w:val="both"/>
        <w:rPr>
          <w:rFonts w:cstheme="minorHAnsi"/>
        </w:rPr>
      </w:pPr>
      <w:r w:rsidRPr="002E19BA">
        <w:rPr>
          <w:rFonts w:cstheme="minorHAnsi"/>
        </w:rPr>
        <w:t>EHSV doporučuje, aby bylo lépe vysvětleno, jaká bude interakce mezi evropskou datovou infrastrukturou, která by měla stimulovat i podporu, rozvoj a zavádění vysoce výkonných superpočítačů, a ohlášenou stěžejní iniciativou pro posílení kvantových informačních technologií.</w:t>
      </w:r>
    </w:p>
    <w:p w:rsidR="00227832" w:rsidRPr="002E19BA" w:rsidRDefault="00227832" w:rsidP="002E19BA">
      <w:pPr>
        <w:spacing w:line="240" w:lineRule="auto"/>
        <w:jc w:val="both"/>
        <w:rPr>
          <w:rFonts w:cstheme="minorHAnsi"/>
        </w:rPr>
      </w:pPr>
      <w:r w:rsidRPr="002E19BA">
        <w:rPr>
          <w:rFonts w:cstheme="minorHAnsi"/>
        </w:rPr>
        <w:t xml:space="preserve">EHSV navrhuje, aby o tomto rozhodujícím správním aspektu i o postupném otevírání pro všechny a o způsobech používání a uchovávání dat Komise zahájila rozsáhlou konzultaci, do níž bude přímo zapojena vědecká obec a organizace zastupující zájmy občanů. </w:t>
      </w:r>
    </w:p>
    <w:p w:rsidR="00227832" w:rsidRPr="002E19BA" w:rsidRDefault="00227832" w:rsidP="002E19BA">
      <w:pPr>
        <w:spacing w:line="240" w:lineRule="auto"/>
        <w:jc w:val="both"/>
        <w:rPr>
          <w:rFonts w:cstheme="minorHAnsi"/>
        </w:rPr>
      </w:pPr>
      <w:r w:rsidRPr="002E19BA">
        <w:rPr>
          <w:rFonts w:cstheme="minorHAnsi"/>
        </w:rPr>
        <w:t xml:space="preserve">EHSV doporučuje, aby dodávky hardwaru a softwaru nezbytného pro evropský </w:t>
      </w:r>
      <w:proofErr w:type="spellStart"/>
      <w:r w:rsidRPr="002E19BA">
        <w:rPr>
          <w:rFonts w:cstheme="minorHAnsi"/>
        </w:rPr>
        <w:t>cloud</w:t>
      </w:r>
      <w:proofErr w:type="spellEnd"/>
      <w:r w:rsidRPr="002E19BA">
        <w:rPr>
          <w:rFonts w:cstheme="minorHAnsi"/>
        </w:rPr>
        <w:t xml:space="preserve"> byly pořízeny v Evropě, a požaduje vyjasnit otázku finančních zdrojů pocházejících z různých rámcových programů, strukturálních fondů, Nástroje pro propojení Evropy a Evropského fondu pro strategické investice.</w:t>
      </w:r>
    </w:p>
    <w:p w:rsidR="00227832" w:rsidRPr="002E19BA" w:rsidRDefault="00227832" w:rsidP="002E19BA">
      <w:pPr>
        <w:spacing w:line="240" w:lineRule="auto"/>
        <w:jc w:val="both"/>
        <w:rPr>
          <w:rFonts w:cstheme="minorHAnsi"/>
        </w:rPr>
      </w:pPr>
      <w:r w:rsidRPr="002E19BA">
        <w:rPr>
          <w:rFonts w:cstheme="minorHAnsi"/>
        </w:rPr>
        <w:t>Má-li být podnikům a občanům poskytnut jasný a spolehlivý právní rámec pro tak strategické, ale i složité a stále se vyvíjející odvětví, jakým je digitální oblast, navrhuje EHSV zřídit „jednotný portál digitální Evropy“, jehož prostřednictvím budou mít občané a podniky snadný přístup ke stávajícím dokumentům EU.</w:t>
      </w:r>
    </w:p>
    <w:p w:rsidR="00227832" w:rsidRPr="002E19BA" w:rsidRDefault="00227832" w:rsidP="002E19BA">
      <w:pPr>
        <w:spacing w:line="240" w:lineRule="auto"/>
        <w:jc w:val="both"/>
        <w:rPr>
          <w:rFonts w:cstheme="minorHAnsi"/>
        </w:rPr>
      </w:pPr>
      <w:r w:rsidRPr="002E19BA">
        <w:rPr>
          <w:rFonts w:cstheme="minorHAnsi"/>
        </w:rPr>
        <w:t>EHSV v neposlední řadě konstatuje, že ke skutečné digitální revoluci jsou nezbytné vzdělávání a odborná příprava všech věkových skupin evropské populace ve všech fázích výdělečné činnosti i mimo ni. EHSV klade důraz především na nutnost investovat do technologického vzdělávání žen a do jejich přístupu k odpovědným a vedoucím pozicím.</w:t>
      </w:r>
    </w:p>
    <w:p w:rsidR="00227832" w:rsidRPr="002E19BA" w:rsidRDefault="00227832" w:rsidP="002E19BA">
      <w:pPr>
        <w:pStyle w:val="Normlnweb"/>
        <w:tabs>
          <w:tab w:val="left" w:pos="142"/>
        </w:tabs>
        <w:spacing w:before="0" w:beforeAutospacing="0" w:after="0" w:afterAutospacing="0"/>
        <w:jc w:val="both"/>
        <w:rPr>
          <w:rFonts w:asciiTheme="minorHAnsi" w:hAnsiTheme="minorHAnsi" w:cstheme="minorHAnsi"/>
          <w:sz w:val="22"/>
          <w:szCs w:val="22"/>
        </w:rPr>
      </w:pPr>
    </w:p>
    <w:p w:rsidR="00601295" w:rsidRPr="002E19BA" w:rsidRDefault="00DF51DF" w:rsidP="002E19BA">
      <w:pPr>
        <w:pStyle w:val="Odstavecseseznamem"/>
        <w:numPr>
          <w:ilvl w:val="0"/>
          <w:numId w:val="2"/>
        </w:numPr>
        <w:spacing w:line="240" w:lineRule="auto"/>
        <w:jc w:val="both"/>
        <w:rPr>
          <w:rFonts w:cstheme="minorHAnsi"/>
          <w:b/>
          <w:bCs/>
        </w:rPr>
      </w:pPr>
      <w:r w:rsidRPr="002E19BA">
        <w:rPr>
          <w:rFonts w:cstheme="minorHAnsi"/>
          <w:b/>
        </w:rPr>
        <w:t>TEN/</w:t>
      </w:r>
      <w:r w:rsidR="00601295" w:rsidRPr="002E19BA">
        <w:rPr>
          <w:rFonts w:cstheme="minorHAnsi"/>
          <w:b/>
        </w:rPr>
        <w:t>594</w:t>
      </w:r>
      <w:r w:rsidR="00601295" w:rsidRPr="002E19BA">
        <w:rPr>
          <w:rFonts w:cstheme="minorHAnsi"/>
          <w:b/>
          <w:bCs/>
        </w:rPr>
        <w:t xml:space="preserve"> </w:t>
      </w:r>
      <w:r w:rsidR="00601295" w:rsidRPr="002E19BA">
        <w:rPr>
          <w:rFonts w:cstheme="minorHAnsi"/>
          <w:b/>
        </w:rPr>
        <w:t>Akční plán EU pro „</w:t>
      </w:r>
      <w:proofErr w:type="spellStart"/>
      <w:r w:rsidR="00601295" w:rsidRPr="002E19BA">
        <w:rPr>
          <w:rFonts w:cstheme="minorHAnsi"/>
          <w:b/>
        </w:rPr>
        <w:t>eGovernment</w:t>
      </w:r>
      <w:proofErr w:type="spellEnd"/>
      <w:r w:rsidR="00601295" w:rsidRPr="002E19BA">
        <w:rPr>
          <w:rFonts w:cstheme="minorHAnsi"/>
          <w:b/>
        </w:rPr>
        <w:t>“ na období 2016–2020</w:t>
      </w:r>
    </w:p>
    <w:p w:rsidR="00DF51DF" w:rsidRPr="002E19BA" w:rsidRDefault="00DF51DF" w:rsidP="002E19BA">
      <w:pPr>
        <w:spacing w:line="240" w:lineRule="auto"/>
        <w:jc w:val="both"/>
        <w:rPr>
          <w:rFonts w:cstheme="minorHAnsi"/>
        </w:rPr>
      </w:pPr>
      <w:r w:rsidRPr="002E19BA">
        <w:rPr>
          <w:rFonts w:cstheme="minorHAnsi"/>
        </w:rPr>
        <w:t>Digitální transformace veřejné správy je klíčovým prvkem úspěchu jednotného digitálního trhu, má přispět k odstranění stávajících digitálních překážek a zabránit dalšímu roztřišťování, k němuž dochází v rámci modernizace orgánů veřejné správy. Minulý akční plán „</w:t>
      </w:r>
      <w:proofErr w:type="spellStart"/>
      <w:r w:rsidRPr="002E19BA">
        <w:rPr>
          <w:rFonts w:cstheme="minorHAnsi"/>
        </w:rPr>
        <w:t>eGovernment</w:t>
      </w:r>
      <w:proofErr w:type="spellEnd"/>
      <w:r w:rsidRPr="002E19BA">
        <w:rPr>
          <w:rFonts w:cstheme="minorHAnsi"/>
        </w:rPr>
        <w:t>“ na období let 2011–2015 vedl k rozvoji technologických prvků, které zásadním způsobem usnadňují přístup k veřejným službám a jejich využívání. Dnes je „</w:t>
      </w:r>
      <w:proofErr w:type="spellStart"/>
      <w:r w:rsidRPr="002E19BA">
        <w:rPr>
          <w:rFonts w:cstheme="minorHAnsi"/>
        </w:rPr>
        <w:t>eGovernment</w:t>
      </w:r>
      <w:proofErr w:type="spellEnd"/>
      <w:r w:rsidRPr="002E19BA">
        <w:rPr>
          <w:rFonts w:cstheme="minorHAnsi"/>
        </w:rPr>
        <w:t>“ více než pouhé využívání technologie. Moderní orgány veřejné správy by měly občanům a podnikům poskytovat veřejné služby, které by byly jimi a na jejich žádost koncipované. Tento nový akční plán EU pro „</w:t>
      </w:r>
      <w:proofErr w:type="spellStart"/>
      <w:r w:rsidRPr="002E19BA">
        <w:rPr>
          <w:rFonts w:cstheme="minorHAnsi"/>
        </w:rPr>
        <w:t>eGovernment</w:t>
      </w:r>
      <w:proofErr w:type="spellEnd"/>
      <w:r w:rsidRPr="002E19BA">
        <w:rPr>
          <w:rFonts w:cstheme="minorHAnsi"/>
        </w:rPr>
        <w:t>“ na období let 2016–2020 má za cíl: 1)modernizovat veřejnou správu, 2)dosáhnout jednotného vnitřního trhu, a 3) více spolupracovat s občany a podniky s cílem poskytovat vysoce kvalitní služby.</w:t>
      </w:r>
    </w:p>
    <w:p w:rsidR="00DF51DF" w:rsidRPr="002E19BA" w:rsidRDefault="00DF51DF" w:rsidP="002E19BA">
      <w:pPr>
        <w:spacing w:line="240" w:lineRule="auto"/>
        <w:jc w:val="both"/>
        <w:rPr>
          <w:rFonts w:cstheme="minorHAnsi"/>
        </w:rPr>
      </w:pPr>
      <w:r w:rsidRPr="002E19BA">
        <w:rPr>
          <w:rFonts w:cstheme="minorHAnsi"/>
        </w:rPr>
        <w:t xml:space="preserve">EHSV podporuje návrhy 3. evropského akčního plánu (2016–2020), jehož cílem je urychlit zavádění elektronické veřejné správy, která bude účinná, </w:t>
      </w:r>
      <w:proofErr w:type="spellStart"/>
      <w:r w:rsidRPr="002E19BA">
        <w:rPr>
          <w:rFonts w:cstheme="minorHAnsi"/>
        </w:rPr>
        <w:t>interoperabilní</w:t>
      </w:r>
      <w:proofErr w:type="spellEnd"/>
      <w:r w:rsidRPr="002E19BA">
        <w:rPr>
          <w:rFonts w:cstheme="minorHAnsi"/>
        </w:rPr>
        <w:t xml:space="preserve"> a všeobecně přístupná.</w:t>
      </w:r>
    </w:p>
    <w:p w:rsidR="00DF51DF" w:rsidRPr="002E19BA" w:rsidRDefault="00DF51DF" w:rsidP="002E19BA">
      <w:pPr>
        <w:spacing w:line="240" w:lineRule="auto"/>
        <w:jc w:val="both"/>
        <w:rPr>
          <w:rFonts w:cstheme="minorHAnsi"/>
        </w:rPr>
      </w:pPr>
      <w:r w:rsidRPr="002E19BA">
        <w:rPr>
          <w:rFonts w:cstheme="minorHAnsi"/>
        </w:rPr>
        <w:t>Elektronická veřejná správa bude moci fungovat pouze v případě, že budou splněny další předpoklady, například zavedení výkonné digitální sítě a efektivních digitálních služeb, všeobecný přístup za příznivou cenu a odpovídající počítačové vzdělávání uživatelů na všech úrovních a v každém věku. I když se má elektronická veřejná správa ve střednědobém či dlouhodobém horizontu stát standardním komunikačním prostředkem, je třeba zachovat pro občany, kteří si to přejí, tradiční prostředky komunikace s veřejnou správou (poštovní zásilky, osobní kontakt, telefonický kontakt).</w:t>
      </w:r>
    </w:p>
    <w:p w:rsidR="00DF51DF" w:rsidRPr="002E19BA" w:rsidRDefault="00DF51DF" w:rsidP="002E19BA">
      <w:pPr>
        <w:spacing w:line="240" w:lineRule="auto"/>
        <w:jc w:val="both"/>
        <w:rPr>
          <w:rFonts w:cstheme="minorHAnsi"/>
        </w:rPr>
      </w:pPr>
      <w:r w:rsidRPr="002E19BA">
        <w:rPr>
          <w:rFonts w:cstheme="minorHAnsi"/>
        </w:rPr>
        <w:t>EHSV schvaluje sedm zásad, na nichž je návrh Komise založen, ale pochybuje o tom, zda budou některé z nich moci být uplatňovány, pokud nebudou vyřešeny související právní a technické problémy.</w:t>
      </w:r>
    </w:p>
    <w:p w:rsidR="00420844" w:rsidRPr="002E19BA" w:rsidRDefault="00420844" w:rsidP="002E19BA">
      <w:pPr>
        <w:pStyle w:val="Odstavecseseznamem"/>
        <w:numPr>
          <w:ilvl w:val="0"/>
          <w:numId w:val="2"/>
        </w:numPr>
        <w:spacing w:line="240" w:lineRule="auto"/>
        <w:jc w:val="both"/>
        <w:rPr>
          <w:rFonts w:cstheme="minorHAnsi"/>
        </w:rPr>
      </w:pPr>
      <w:r w:rsidRPr="002E19BA">
        <w:rPr>
          <w:rFonts w:cstheme="minorHAnsi"/>
          <w:b/>
        </w:rPr>
        <w:t>TEN/589 Strategie EU pro zkapalněný zemní plyn a skladování plynu</w:t>
      </w:r>
    </w:p>
    <w:p w:rsidR="00420844" w:rsidRPr="002E19BA" w:rsidRDefault="00420844" w:rsidP="002E19BA">
      <w:pPr>
        <w:spacing w:line="240" w:lineRule="auto"/>
        <w:jc w:val="both"/>
        <w:rPr>
          <w:rFonts w:cstheme="minorHAnsi"/>
        </w:rPr>
      </w:pPr>
      <w:r w:rsidRPr="002E19BA">
        <w:rPr>
          <w:rFonts w:cstheme="minorHAnsi"/>
        </w:rPr>
        <w:t>Strategie EU pro zkapalněný zemní plyn (LNG) a skladování plynu je důležitým prvkem projektu energetické unie (</w:t>
      </w:r>
      <w:proofErr w:type="gramStart"/>
      <w:r w:rsidRPr="002E19BA">
        <w:rPr>
          <w:rFonts w:cstheme="minorHAnsi"/>
        </w:rPr>
        <w:t>COM(2015</w:t>
      </w:r>
      <w:proofErr w:type="gramEnd"/>
      <w:r w:rsidRPr="002E19BA">
        <w:rPr>
          <w:rFonts w:cstheme="minorHAnsi"/>
        </w:rPr>
        <w:t>) 080), neboť přispívá k bezpečnosti dodávek energie, konkurenceschopnosti trhů s energií a k cílům v oblasti klimatu a životního prostředí, jež jsou realizovány v rámci energetické unie i v jiných souvislostech. Co se týče bezpečnosti dodávek zemního plynu, umožňuje LNG diverzifikaci dodavatelů a přepravních tras a větší pružnost dodávek. LNG zvyšuje také konkurenceschopnost na trzích díky tomu, že na ně vstupují mezinárodní dodavatelé. V neposlední řadě může LNG v některých případech snížit dopady na životní prostředí. Skladování plynu hraje zásadní roli v optimalizaci využití plynárenské infrastruktury a vyrovnávání soustavy, a podporuje tak konkurenceschopnost a odolnost dodávek plynu. K hlavním problémům, které bude třeba vyřešit, aby mohl LNG hrát důležitou roli na trzích EU se zemním plynem, patří nedostatečná infrastruktura, dokončení vnitřního trhu se zemním plynem, aby cenové signály co nejúčinněji směrovaly investice, a navázání pevného partnerství s mezinárodními dodavateli a odběrateli, aby byl vytvořen volný, likvidní a transparentní světový trh s LNG.</w:t>
      </w:r>
    </w:p>
    <w:p w:rsidR="00420844" w:rsidRPr="002E19BA" w:rsidRDefault="00420844" w:rsidP="002E19BA">
      <w:pPr>
        <w:spacing w:line="240" w:lineRule="auto"/>
        <w:jc w:val="both"/>
        <w:rPr>
          <w:rFonts w:cstheme="minorHAnsi"/>
        </w:rPr>
      </w:pPr>
      <w:r w:rsidRPr="002E19BA">
        <w:rPr>
          <w:rFonts w:cstheme="minorHAnsi"/>
        </w:rPr>
        <w:t xml:space="preserve">EHSV si je vědom toho, že strategie EU pro LNG a skladování plynu je nezbytnou součástí energetické unie, jejímž cílem je zabezpečit občanům dodávky energie. Flexibilnější a diverzifikovanější dodávky plynu přispívají rovněž k cíli spočívajícím v přechodu na nízkouhlíkové hospodářství, poněvadž plyn má ve srovnání s uhlím lepší vliv na klima a současně může zlepšit veřejné zdraví tím, že se sníží potenciálně škodlivé emise spojené s výrobou energie z uhlí. EHSV vyzdvihuje názor Komise, že zásadním problémem je neoptimální rozložení kapacity v oblasti </w:t>
      </w:r>
      <w:proofErr w:type="spellStart"/>
      <w:r w:rsidRPr="002E19BA">
        <w:rPr>
          <w:rFonts w:cstheme="minorHAnsi"/>
        </w:rPr>
        <w:t>znovuzplynování</w:t>
      </w:r>
      <w:proofErr w:type="spellEnd"/>
      <w:r w:rsidRPr="002E19BA">
        <w:rPr>
          <w:rFonts w:cstheme="minorHAnsi"/>
        </w:rPr>
        <w:t xml:space="preserve"> na regionální úrovni, a žádá, aby byly učiněny investice a opatření pro zajištění vyváženosti přepravních tras a aby byly uznány potřeby izolovaných regionů, které jsou závislé na jednom dodavateli.</w:t>
      </w:r>
    </w:p>
    <w:p w:rsidR="00420844" w:rsidRPr="002E19BA" w:rsidRDefault="00420844" w:rsidP="002E19BA">
      <w:pPr>
        <w:pStyle w:val="Odstavecseseznamem"/>
        <w:numPr>
          <w:ilvl w:val="0"/>
          <w:numId w:val="2"/>
        </w:numPr>
        <w:spacing w:line="240" w:lineRule="auto"/>
        <w:jc w:val="both"/>
        <w:rPr>
          <w:rFonts w:cstheme="minorHAnsi"/>
        </w:rPr>
      </w:pPr>
      <w:r w:rsidRPr="002E19BA">
        <w:rPr>
          <w:rFonts w:cstheme="minorHAnsi"/>
          <w:b/>
        </w:rPr>
        <w:t>TEN/588</w:t>
      </w:r>
      <w:r w:rsidRPr="002E19BA">
        <w:rPr>
          <w:rFonts w:cstheme="minorHAnsi"/>
        </w:rPr>
        <w:t xml:space="preserve"> </w:t>
      </w:r>
      <w:r w:rsidRPr="002E19BA">
        <w:rPr>
          <w:rFonts w:cstheme="minorHAnsi"/>
          <w:b/>
        </w:rPr>
        <w:t>Bezpečnost dodávek zemního plynu</w:t>
      </w:r>
    </w:p>
    <w:p w:rsidR="00420844" w:rsidRPr="002E19BA" w:rsidRDefault="00420844" w:rsidP="002E19BA">
      <w:pPr>
        <w:spacing w:line="240" w:lineRule="auto"/>
        <w:jc w:val="both"/>
        <w:rPr>
          <w:rFonts w:cstheme="minorHAnsi"/>
        </w:rPr>
      </w:pPr>
      <w:r w:rsidRPr="002E19BA">
        <w:rPr>
          <w:rFonts w:cstheme="minorHAnsi"/>
        </w:rPr>
        <w:t xml:space="preserve">Zabezpečení dodávek plynu je jedním z hlavních problémů řízení koordinace energetické politiky na evropské úrovni. Po přerušení dodávek plynu z Ruska v letech 2005–2006, 2007–2008 a zejména v roce 2009, evropští tvůrci politik postupně více uznávali potřebu koordinovaných opatření v oblasti energetické bezpečnosti, jak se uvádí v jejím začlenění do Lisabonské smlouvy (čl. 194 odst. 1), v nedávné energetické unii (COM/2015/80) a v nařízení o bezpečnosti dodávek plynu z roku 2010 (994/2010). Vzhledem k tomu, že geopolitické otázky, které jsou pro energetickou bezpečnost klíčové, se v posledních letech ještě zhoršily, a že závislost na dovozu v mnoha členských státech přetrvává, navrhla Evropská komise v únoru 2016 aktualizovat nařízení z roku 2010. Návrh zejména obsahuje nová pravidla, jejichž cílem je předcházet a zmírnit výkyvy v dodávkách energie, jakož i zajistit solidaritu v případě stavu nouze, a to zavedením regionálního přístupu k bezpečnosti zásobování. Konkrétně regiony sestávající z několika členských států EU budou muset připravit regionální posouzení rizik, plán preventivních opatření a plán pro stav nouze, a zlepšit regionální spolupráci umožňující zpětný tok plynu na </w:t>
      </w:r>
      <w:proofErr w:type="spellStart"/>
      <w:r w:rsidRPr="002E19BA">
        <w:rPr>
          <w:rFonts w:cstheme="minorHAnsi"/>
        </w:rPr>
        <w:t>přeshraničních</w:t>
      </w:r>
      <w:proofErr w:type="spellEnd"/>
      <w:r w:rsidRPr="002E19BA">
        <w:rPr>
          <w:rFonts w:cstheme="minorHAnsi"/>
        </w:rPr>
        <w:t xml:space="preserve"> propojeních.</w:t>
      </w:r>
    </w:p>
    <w:p w:rsidR="00117AF8" w:rsidRPr="002E19BA" w:rsidRDefault="00420844" w:rsidP="002E19BA">
      <w:pPr>
        <w:spacing w:line="240" w:lineRule="auto"/>
        <w:jc w:val="both"/>
        <w:rPr>
          <w:rFonts w:cstheme="minorHAnsi"/>
        </w:rPr>
      </w:pPr>
      <w:r w:rsidRPr="002E19BA">
        <w:rPr>
          <w:rFonts w:cstheme="minorHAnsi"/>
        </w:rPr>
        <w:t>EHSV uznává pokrok, jehož bylo dosaženo při zlepšování bezpečnosti dodávek zemního plynu během několika posledních let, avšak zdůrazňuje, že je zapotřebí vyvinout další úsilí k dosažení soudržné politiky EU v oblasti dodávek plynu, jež Evropanům zajistí bezpečnost dodávek, kterou očekávají. Politika v oblasti zemního plynu se vyvíjí v mezinárodním kontextu vymezeném ambiciózními cíli v oblasti změny klimatu vycházejícími z konference COP 21 a geopolitickým napětím, a to zejména v přímém sousedství Evropy. Zemní plyn je považován za důležitý přechodný zdroj energie při přechodu na nízkouhlíkové hospodářství. EHSV uznává, že pro infrastrukturu pro dodávky plynu jsou důležité zejména soukromé investice, a že předvídatelný a spolehlivý politický rámec může takové investice usnadnit. Výbor zdůrazňuje, že klíčovou oblastí politiky zabezpečení dodávek plynu je úsilí o snižování poptávky po zemním plynu, a to zejména prostřednictvím zlepšování energetické účinnosti budov vytápěných plynem.</w:t>
      </w:r>
    </w:p>
    <w:p w:rsidR="00117AF8" w:rsidRPr="002E19BA" w:rsidRDefault="00117AF8" w:rsidP="002E19BA">
      <w:pPr>
        <w:pStyle w:val="Odstavecseseznamem"/>
        <w:numPr>
          <w:ilvl w:val="0"/>
          <w:numId w:val="6"/>
        </w:numPr>
        <w:spacing w:line="240" w:lineRule="auto"/>
        <w:jc w:val="both"/>
        <w:rPr>
          <w:rFonts w:cstheme="minorHAnsi"/>
        </w:rPr>
      </w:pPr>
      <w:r w:rsidRPr="002E19BA">
        <w:rPr>
          <w:rFonts w:cstheme="minorHAnsi"/>
          <w:b/>
        </w:rPr>
        <w:t>SOC/545 Ochrana před karcinogenními chemickými látkami</w:t>
      </w:r>
    </w:p>
    <w:p w:rsidR="00B0501B" w:rsidRPr="002E19BA" w:rsidRDefault="00117AF8" w:rsidP="002E19BA">
      <w:pPr>
        <w:keepNext/>
        <w:keepLines/>
        <w:spacing w:line="240" w:lineRule="auto"/>
        <w:jc w:val="both"/>
        <w:rPr>
          <w:rFonts w:cstheme="minorHAnsi"/>
        </w:rPr>
      </w:pPr>
      <w:r w:rsidRPr="002E19BA">
        <w:rPr>
          <w:rFonts w:cstheme="minorHAnsi"/>
        </w:rPr>
        <w:t xml:space="preserve">Za účelem zlepšit ochranu pracovníků před karcinogenními chemickými látkami Komise navrhla změny </w:t>
      </w:r>
      <w:hyperlink r:id="rId7">
        <w:r w:rsidRPr="002E19BA">
          <w:rPr>
            <w:rStyle w:val="Hypertextovodkaz"/>
            <w:rFonts w:cstheme="minorHAnsi"/>
            <w:color w:val="auto"/>
            <w:u w:val="none"/>
          </w:rPr>
          <w:t>směrnice o karcinogenech a mutagenech (2004/37/EC)</w:t>
        </w:r>
      </w:hyperlink>
      <w:r w:rsidRPr="002E19BA">
        <w:rPr>
          <w:rFonts w:cstheme="minorHAnsi"/>
        </w:rPr>
        <w:t>s cílem omezit expozici na 13</w:t>
      </w:r>
      <w:r w:rsidR="009F2A68">
        <w:rPr>
          <w:rFonts w:cstheme="minorHAnsi"/>
        </w:rPr>
        <w:t xml:space="preserve"> </w:t>
      </w:r>
      <w:r w:rsidRPr="002E19BA">
        <w:rPr>
          <w:rFonts w:cstheme="minorHAnsi"/>
        </w:rPr>
        <w:t>karcinogenních chemických látek na pracovišti.</w:t>
      </w:r>
      <w:r w:rsidR="009F2A68">
        <w:rPr>
          <w:rFonts w:cstheme="minorHAnsi"/>
        </w:rPr>
        <w:t xml:space="preserve"> </w:t>
      </w:r>
      <w:r w:rsidRPr="002E19BA">
        <w:rPr>
          <w:rFonts w:cstheme="minorHAnsi"/>
        </w:rPr>
        <w:t xml:space="preserve">Komise konkrétně navrhuje řešit expozici 13 rakovinotvorným chemickým látkám zahrnutím </w:t>
      </w:r>
      <w:r w:rsidRPr="002E19BA">
        <w:rPr>
          <w:rFonts w:cstheme="minorHAnsi"/>
          <w:b/>
        </w:rPr>
        <w:t>nové nebo pozměněné limitní hodnoty</w:t>
      </w:r>
      <w:r w:rsidRPr="002E19BA">
        <w:rPr>
          <w:rFonts w:cstheme="minorHAnsi"/>
        </w:rPr>
        <w:t xml:space="preserve"> podle směrnice o karcinogenech a mutagenech. Tyto limitní hodnoty stanovují maximální koncentrace pro přítomnost chemických karcinogenů ve vzduchu na pracovišti. Tento návrh vychází z vědeckých důkazů a navazuje na rozsáhlá jednání s vědeckými pracovníky, zaměstnavateli, zaměstnanci, zástupci členských států a s inspektory práce</w:t>
      </w:r>
      <w:r w:rsidR="00B0501B" w:rsidRPr="002E19BA">
        <w:rPr>
          <w:rFonts w:cstheme="minorHAnsi"/>
        </w:rPr>
        <w:t xml:space="preserve">. </w:t>
      </w:r>
      <w:r w:rsidRPr="002E19BA">
        <w:rPr>
          <w:rFonts w:cstheme="minorHAnsi"/>
        </w:rPr>
        <w:t>Jelikož se Výbor domnívá, že obsah návrhu je uspokojivý, a nemá k němu žádné připomínky, rozhodl se zaujmout k navrhovanému znění příznivé stanovisko.</w:t>
      </w:r>
    </w:p>
    <w:p w:rsidR="00EF0309" w:rsidRPr="002E19BA" w:rsidRDefault="00EF0309" w:rsidP="002E19BA">
      <w:pPr>
        <w:pStyle w:val="Odstavecseseznamem"/>
        <w:numPr>
          <w:ilvl w:val="0"/>
          <w:numId w:val="6"/>
        </w:numPr>
        <w:spacing w:line="240" w:lineRule="auto"/>
        <w:jc w:val="both"/>
        <w:rPr>
          <w:rFonts w:cstheme="minorHAnsi"/>
        </w:rPr>
      </w:pPr>
      <w:r w:rsidRPr="002E19BA">
        <w:rPr>
          <w:rFonts w:cstheme="minorHAnsi"/>
          <w:b/>
        </w:rPr>
        <w:t>NAT/693</w:t>
      </w:r>
      <w:r w:rsidRPr="002E19BA">
        <w:rPr>
          <w:rFonts w:cstheme="minorHAnsi"/>
        </w:rPr>
        <w:t xml:space="preserve"> </w:t>
      </w:r>
      <w:r w:rsidRPr="002E19BA">
        <w:rPr>
          <w:rFonts w:cstheme="minorHAnsi"/>
          <w:b/>
        </w:rPr>
        <w:t>Udržitelný rozvoj – mapování vnitřních a vnějších politik EU</w:t>
      </w:r>
    </w:p>
    <w:p w:rsidR="00EF0309" w:rsidRPr="002E19BA" w:rsidRDefault="00EF0309" w:rsidP="002E19BA">
      <w:pPr>
        <w:spacing w:line="240" w:lineRule="auto"/>
        <w:jc w:val="both"/>
        <w:rPr>
          <w:rFonts w:cstheme="minorHAnsi"/>
        </w:rPr>
      </w:pPr>
      <w:r w:rsidRPr="002E19BA">
        <w:rPr>
          <w:rFonts w:cstheme="minorHAnsi"/>
        </w:rPr>
        <w:t>V září 2015 přijala OSN Agendu pro udržitelný rozvoj 2030 obsahující 17 cílů udržitelného rozvoje, které platí obecně pro rozvojové a rozvinuté země a které se týkají hospodářského, sociálního a environmentálního rozměru udržitelného rozvoje. Při provádění cílů udržitelného rozvoje bude pro evropské regiony hrát klíčovou roli EU. Jako první krok provede Komise rozsáhlé mapování situace, včetně všech příslušných GŘ, s cílem určit, které z již existujících politik EU řeší výzvy stanovené cíli udržitelného rozvoje a kde jsou mezery a nedostatky. Komise plánuje v roce 2016 mapování dokončit a zveřejnit výsledky. Toto průzkumné stanovisko by poskytlo podněty k hodnocení Komise.</w:t>
      </w:r>
    </w:p>
    <w:p w:rsidR="00EF0309" w:rsidRPr="002E19BA" w:rsidRDefault="00EF0309" w:rsidP="002E19BA">
      <w:pPr>
        <w:spacing w:line="240" w:lineRule="auto"/>
        <w:jc w:val="both"/>
        <w:rPr>
          <w:rFonts w:cstheme="minorHAnsi"/>
        </w:rPr>
      </w:pPr>
      <w:r w:rsidRPr="002E19BA">
        <w:rPr>
          <w:rFonts w:cstheme="minorHAnsi"/>
        </w:rPr>
        <w:t xml:space="preserve">Agenda OSN 2030 by se měla přeměnit na </w:t>
      </w:r>
      <w:proofErr w:type="spellStart"/>
      <w:r w:rsidRPr="002E19BA">
        <w:rPr>
          <w:rFonts w:cstheme="minorHAnsi"/>
        </w:rPr>
        <w:t>proaktivní</w:t>
      </w:r>
      <w:proofErr w:type="spellEnd"/>
      <w:r w:rsidRPr="002E19BA">
        <w:rPr>
          <w:rFonts w:cstheme="minorHAnsi"/>
        </w:rPr>
        <w:t xml:space="preserve">, transformační a pozitivní </w:t>
      </w:r>
      <w:proofErr w:type="spellStart"/>
      <w:r w:rsidRPr="002E19BA">
        <w:rPr>
          <w:rFonts w:cstheme="minorHAnsi"/>
        </w:rPr>
        <w:t>narativ</w:t>
      </w:r>
      <w:proofErr w:type="spellEnd"/>
      <w:r w:rsidRPr="002E19BA">
        <w:rPr>
          <w:rFonts w:cstheme="minorHAnsi"/>
        </w:rPr>
        <w:t xml:space="preserve"> Evropy. Tento progresivní </w:t>
      </w:r>
      <w:proofErr w:type="spellStart"/>
      <w:r w:rsidRPr="002E19BA">
        <w:rPr>
          <w:rFonts w:cstheme="minorHAnsi"/>
        </w:rPr>
        <w:t>narativ</w:t>
      </w:r>
      <w:proofErr w:type="spellEnd"/>
      <w:r w:rsidRPr="002E19BA">
        <w:rPr>
          <w:rFonts w:cstheme="minorHAnsi"/>
        </w:rPr>
        <w:t xml:space="preserve"> by rovněž pomohl překonat bezprecedentní nedostatek důvěry občanů EU v projekt EU a především pro něj získat podporu mladých lidí. EU by tímto způsobem měla využít Agendy OSN 2030 k tomu, aby občanům EU představila novou vizi pro Evropu: společenskou smlouvu pro 21. století.</w:t>
      </w:r>
    </w:p>
    <w:p w:rsidR="00EF0309" w:rsidRPr="002E19BA" w:rsidRDefault="00EF0309" w:rsidP="002E19BA">
      <w:pPr>
        <w:spacing w:line="240" w:lineRule="auto"/>
        <w:jc w:val="both"/>
        <w:rPr>
          <w:rFonts w:cstheme="minorHAnsi"/>
        </w:rPr>
      </w:pPr>
      <w:r w:rsidRPr="002E19BA">
        <w:rPr>
          <w:rFonts w:cstheme="minorHAnsi"/>
        </w:rPr>
        <w:t>Výbor žádá o zastřešující a integrovanou strategii pro udržitelnou Evropu do roku 2030 a na období poté, která by Agendě OSN 2030 poskytla potřebný dlouhodobý horizont, koordinaci politik a soudržnost provádění. Tato strategie musí obsahovat konkrétní úkoly při plnění cílů udržitelného rozvoje, mechanismy přezkumu a sledování, akční plány obsahující nezbytné legislativní a politické nástroje, osvětové činnosti a plán mobilizace finančních zdrojů. Ve fázi tvorby návrhu strategie by měla proběhnout širší konzultace s občanskou společností, vládami, parlamenty a místními orgány.</w:t>
      </w:r>
    </w:p>
    <w:p w:rsidR="00EF0309" w:rsidRPr="002E19BA" w:rsidRDefault="00EF0309" w:rsidP="002E19BA">
      <w:pPr>
        <w:spacing w:line="240" w:lineRule="auto"/>
        <w:jc w:val="both"/>
        <w:rPr>
          <w:rFonts w:cstheme="minorHAnsi"/>
        </w:rPr>
      </w:pPr>
      <w:r w:rsidRPr="002E19BA">
        <w:rPr>
          <w:rFonts w:cstheme="minorHAnsi"/>
        </w:rPr>
        <w:t>EHSV identifikoval v souvislosti s transformační změnou ve prospěch udržitelného rozvoje následující klíčové oblasti politiky a doporučuje Komisi, aby stanovila vhodné stěžejní iniciativy:</w:t>
      </w:r>
    </w:p>
    <w:p w:rsidR="00EF0309" w:rsidRPr="002E19BA" w:rsidRDefault="00EF0309" w:rsidP="002E19BA">
      <w:pPr>
        <w:pStyle w:val="Odstavecseseznamem"/>
        <w:numPr>
          <w:ilvl w:val="0"/>
          <w:numId w:val="7"/>
        </w:numPr>
        <w:tabs>
          <w:tab w:val="clear" w:pos="0"/>
        </w:tabs>
        <w:autoSpaceDE w:val="0"/>
        <w:autoSpaceDN w:val="0"/>
        <w:spacing w:after="0" w:line="240" w:lineRule="auto"/>
        <w:ind w:left="567" w:hanging="567"/>
        <w:jc w:val="both"/>
        <w:rPr>
          <w:rFonts w:cstheme="minorHAnsi"/>
        </w:rPr>
      </w:pPr>
      <w:r w:rsidRPr="002E19BA">
        <w:rPr>
          <w:rFonts w:cstheme="minorHAnsi"/>
        </w:rPr>
        <w:t>spravedlivý přechod na nízkouhlíkovou, oběhovou ekonomiku sdílení;</w:t>
      </w:r>
    </w:p>
    <w:p w:rsidR="00EF0309" w:rsidRPr="002E19BA" w:rsidRDefault="00EF0309" w:rsidP="002E19BA">
      <w:pPr>
        <w:pStyle w:val="Odstavecseseznamem"/>
        <w:numPr>
          <w:ilvl w:val="0"/>
          <w:numId w:val="7"/>
        </w:numPr>
        <w:tabs>
          <w:tab w:val="clear" w:pos="0"/>
        </w:tabs>
        <w:autoSpaceDE w:val="0"/>
        <w:autoSpaceDN w:val="0"/>
        <w:spacing w:after="0" w:line="240" w:lineRule="auto"/>
        <w:ind w:left="567" w:hanging="567"/>
        <w:jc w:val="both"/>
        <w:rPr>
          <w:rFonts w:cstheme="minorHAnsi"/>
        </w:rPr>
      </w:pPr>
      <w:r w:rsidRPr="002E19BA">
        <w:rPr>
          <w:rFonts w:cstheme="minorHAnsi"/>
        </w:rPr>
        <w:t>přechod ke společnosti a hospodářství podporujícím sociální začlenění – důstojná práce a lidská práva;</w:t>
      </w:r>
    </w:p>
    <w:p w:rsidR="00EF0309" w:rsidRPr="002E19BA" w:rsidRDefault="00EF0309" w:rsidP="002E19BA">
      <w:pPr>
        <w:pStyle w:val="Odstavecseseznamem"/>
        <w:numPr>
          <w:ilvl w:val="0"/>
          <w:numId w:val="7"/>
        </w:numPr>
        <w:tabs>
          <w:tab w:val="clear" w:pos="0"/>
        </w:tabs>
        <w:autoSpaceDE w:val="0"/>
        <w:autoSpaceDN w:val="0"/>
        <w:spacing w:after="0" w:line="240" w:lineRule="auto"/>
        <w:ind w:left="567" w:hanging="567"/>
        <w:jc w:val="both"/>
        <w:rPr>
          <w:rFonts w:cstheme="minorHAnsi"/>
        </w:rPr>
      </w:pPr>
      <w:r w:rsidRPr="002E19BA">
        <w:rPr>
          <w:rFonts w:cstheme="minorHAnsi"/>
        </w:rPr>
        <w:t>přechod k udržitelné výrobě a spotřebě potravin;</w:t>
      </w:r>
    </w:p>
    <w:p w:rsidR="00EF0309" w:rsidRPr="002E19BA" w:rsidRDefault="00EF0309" w:rsidP="002E19BA">
      <w:pPr>
        <w:pStyle w:val="Odstavecseseznamem"/>
        <w:numPr>
          <w:ilvl w:val="0"/>
          <w:numId w:val="7"/>
        </w:numPr>
        <w:tabs>
          <w:tab w:val="clear" w:pos="0"/>
        </w:tabs>
        <w:autoSpaceDE w:val="0"/>
        <w:autoSpaceDN w:val="0"/>
        <w:spacing w:after="0" w:line="240" w:lineRule="auto"/>
        <w:ind w:left="567" w:hanging="567"/>
        <w:jc w:val="both"/>
        <w:rPr>
          <w:rFonts w:cstheme="minorHAnsi"/>
        </w:rPr>
      </w:pPr>
      <w:r w:rsidRPr="002E19BA">
        <w:rPr>
          <w:rFonts w:cstheme="minorHAnsi"/>
        </w:rPr>
        <w:t>investice do inovací a dlouhodobé modernizace infrastruktury a podpora udržitelných podniků;</w:t>
      </w:r>
    </w:p>
    <w:p w:rsidR="00EF0309" w:rsidRPr="002E19BA" w:rsidRDefault="00EF0309" w:rsidP="002E19BA">
      <w:pPr>
        <w:pStyle w:val="Odstavecseseznamem"/>
        <w:numPr>
          <w:ilvl w:val="0"/>
          <w:numId w:val="7"/>
        </w:numPr>
        <w:tabs>
          <w:tab w:val="clear" w:pos="0"/>
        </w:tabs>
        <w:autoSpaceDE w:val="0"/>
        <w:autoSpaceDN w:val="0"/>
        <w:spacing w:after="0" w:line="240" w:lineRule="auto"/>
        <w:ind w:left="567" w:hanging="567"/>
        <w:jc w:val="both"/>
        <w:rPr>
          <w:rFonts w:cstheme="minorHAnsi"/>
        </w:rPr>
      </w:pPr>
      <w:r w:rsidRPr="002E19BA">
        <w:rPr>
          <w:rFonts w:cstheme="minorHAnsi"/>
        </w:rPr>
        <w:t>zajištění přínosnosti obchodu pro globální udržitelný rozvoj.</w:t>
      </w:r>
    </w:p>
    <w:p w:rsidR="00EF0309" w:rsidRPr="002E19BA" w:rsidRDefault="00EF0309" w:rsidP="002E19BA">
      <w:pPr>
        <w:spacing w:line="240" w:lineRule="auto"/>
        <w:rPr>
          <w:rFonts w:cstheme="minorHAnsi"/>
        </w:rPr>
      </w:pPr>
    </w:p>
    <w:p w:rsidR="00EF0309" w:rsidRPr="002E19BA" w:rsidRDefault="00EF0309" w:rsidP="002E19BA">
      <w:pPr>
        <w:spacing w:line="240" w:lineRule="auto"/>
        <w:jc w:val="both"/>
        <w:rPr>
          <w:rFonts w:cstheme="minorHAnsi"/>
        </w:rPr>
      </w:pPr>
      <w:r w:rsidRPr="002E19BA">
        <w:rPr>
          <w:rFonts w:cstheme="minorHAnsi"/>
        </w:rPr>
        <w:t>EU by měla při plnění cílů udržitelného rozvoje přejít na přístup zahrnující více zainteresovaných stran a na základě zásad účasti, zodpovědnosti a partnerství zapojit všechny subjekty a organizace občanské společnosti. EHSV již navrhl konkrétní iniciativu – Fórum evropské občanské společnosti pro udržitelný rozvoj, zahrnující více zainteresovaných stran.</w:t>
      </w:r>
    </w:p>
    <w:p w:rsidR="00CF37C7" w:rsidRPr="002E19BA" w:rsidRDefault="00CF37C7" w:rsidP="002E19BA">
      <w:pPr>
        <w:pStyle w:val="Odstavecseseznamem"/>
        <w:numPr>
          <w:ilvl w:val="0"/>
          <w:numId w:val="6"/>
        </w:numPr>
        <w:spacing w:line="240" w:lineRule="auto"/>
        <w:jc w:val="both"/>
        <w:rPr>
          <w:rFonts w:cstheme="minorHAnsi"/>
        </w:rPr>
      </w:pPr>
      <w:r w:rsidRPr="002E19BA">
        <w:rPr>
          <w:rFonts w:cstheme="minorHAnsi"/>
          <w:b/>
        </w:rPr>
        <w:t>NAT/690</w:t>
      </w:r>
      <w:r w:rsidRPr="002E19BA">
        <w:rPr>
          <w:rFonts w:cstheme="minorHAnsi"/>
        </w:rPr>
        <w:t xml:space="preserve"> </w:t>
      </w:r>
      <w:r w:rsidRPr="002E19BA">
        <w:rPr>
          <w:rFonts w:cstheme="minorHAnsi"/>
          <w:b/>
        </w:rPr>
        <w:t>Po pařížské konferenci</w:t>
      </w:r>
    </w:p>
    <w:p w:rsidR="00CF37C7" w:rsidRPr="002E19BA" w:rsidRDefault="00CF37C7" w:rsidP="002E19BA">
      <w:pPr>
        <w:spacing w:line="240" w:lineRule="auto"/>
        <w:jc w:val="both"/>
        <w:rPr>
          <w:rFonts w:cstheme="minorHAnsi"/>
        </w:rPr>
      </w:pPr>
      <w:r w:rsidRPr="002E19BA">
        <w:rPr>
          <w:rFonts w:cstheme="minorHAnsi"/>
        </w:rPr>
        <w:t xml:space="preserve">Provádění výsledků pařížského summitu o změně klimatu (UNFCCC COP21) je záležitostí, která pro Evropskou komisi a další orgány a instituce EU představuje jednu z předních priorit, a bylo rovněž identifikováno jako významná výzva a označeno jako priorita činnosti specializované sekce NAT, a zejména SSUR, v nadcházejících letech. </w:t>
      </w:r>
    </w:p>
    <w:p w:rsidR="00CF37C7" w:rsidRPr="002E19BA" w:rsidRDefault="00CF37C7" w:rsidP="002E19BA">
      <w:pPr>
        <w:spacing w:line="240" w:lineRule="auto"/>
        <w:jc w:val="both"/>
        <w:rPr>
          <w:rFonts w:cstheme="minorHAnsi"/>
        </w:rPr>
      </w:pPr>
      <w:r w:rsidRPr="002E19BA">
        <w:rPr>
          <w:rFonts w:cstheme="minorHAnsi"/>
        </w:rPr>
        <w:t xml:space="preserve">Dne 2. března 2016 zveřejnila Komise sdělení </w:t>
      </w:r>
      <w:r w:rsidRPr="002E19BA">
        <w:rPr>
          <w:rFonts w:cstheme="minorHAnsi"/>
          <w:i/>
        </w:rPr>
        <w:t>Po pařížské konferenci: posouzení dopadů Pařížské dohody</w:t>
      </w:r>
      <w:r w:rsidRPr="002E19BA">
        <w:rPr>
          <w:rFonts w:cstheme="minorHAnsi"/>
        </w:rPr>
        <w:t>. Toto sdělení je posouzením dopadů nové celosvětové dohody o klimatu přijaté v Paříži v prosinci 2015, které se zaměřuje na následující kroky v tomto procesu a na to, jak se Pařížská dohoda bude provádět v EU. Sdělení zdůrazňuje, že provádění rámce politiky v oblasti klimatu a energetiky do roku 2030 dohodnutého na zasedání Evropské rady patří mezi priority v rámci činností navazujících na Pařížskou dohodu.</w:t>
      </w:r>
    </w:p>
    <w:p w:rsidR="00EE7C82" w:rsidRPr="002E19BA" w:rsidRDefault="00CF37C7" w:rsidP="002E19BA">
      <w:pPr>
        <w:spacing w:line="240" w:lineRule="auto"/>
        <w:jc w:val="both"/>
        <w:rPr>
          <w:rFonts w:cstheme="minorHAnsi"/>
        </w:rPr>
      </w:pPr>
      <w:r w:rsidRPr="002E19BA">
        <w:rPr>
          <w:rFonts w:cstheme="minorHAnsi"/>
        </w:rPr>
        <w:t xml:space="preserve">EHSV se rozhodl vypracovat k tématu </w:t>
      </w:r>
      <w:r w:rsidRPr="002E19BA">
        <w:rPr>
          <w:rFonts w:cstheme="minorHAnsi"/>
          <w:i/>
        </w:rPr>
        <w:t>Po pařížské konferenci</w:t>
      </w:r>
      <w:r w:rsidRPr="002E19BA">
        <w:rPr>
          <w:rFonts w:cstheme="minorHAnsi"/>
        </w:rPr>
        <w:t xml:space="preserve"> stanovisko z vlastní iniciativy. Toto stanovisko nabídne pohled Výboru na přizpůsobení stávajícího politického rámce EU tak, aby byl vhodný pro plnění závazků Pařížské dohody. Vzhledem k tomu, že EU bude muset být připravena zapojit se do </w:t>
      </w:r>
      <w:proofErr w:type="spellStart"/>
      <w:r w:rsidRPr="002E19BA">
        <w:rPr>
          <w:rFonts w:cstheme="minorHAnsi"/>
        </w:rPr>
        <w:t>přezkumných</w:t>
      </w:r>
      <w:proofErr w:type="spellEnd"/>
      <w:r w:rsidRPr="002E19BA">
        <w:rPr>
          <w:rFonts w:cstheme="minorHAnsi"/>
        </w:rPr>
        <w:t xml:space="preserve"> procesů, jejichž účelem je zajistit dosažení cíle udržet změnu klimatu výrazně pod 2 °C a usilovat o její udržení co nejblíže úrovni 1,5 °C, měla by začít vypracovávat svou dlouhodobou strategii a určit oblasti, v nichž je třeba stávající politiku upravit. Stanovisko EHSV bude včasným příspěvkem k práci Komise na hloubkové analýze hospodářské a sociální transformace.</w:t>
      </w:r>
    </w:p>
    <w:p w:rsidR="00CF37C7" w:rsidRPr="002E19BA" w:rsidRDefault="00CF37C7" w:rsidP="002E19BA">
      <w:pPr>
        <w:spacing w:line="240" w:lineRule="auto"/>
        <w:jc w:val="both"/>
        <w:rPr>
          <w:rFonts w:cstheme="minorHAnsi"/>
        </w:rPr>
      </w:pPr>
      <w:r w:rsidRPr="002E19BA">
        <w:rPr>
          <w:rFonts w:cstheme="minorHAnsi"/>
        </w:rPr>
        <w:t>Pařížská dohoda je vítaným globálním závazkem ke zmírňování změny klimatu. Úkolem, který před námi leží, je zajistit, aby byla dohoda ratifikována, provedena a dále rozvíjena. Obrovské globální výzvy vyžadují zásadní změnu v přístupu Evropské unie. Namísto toho, aby se EU soustředila pouze na své vlastní emise skleníkových plynů, by měla uvažovat o tom, jak může přispět k dosažení co největšího přínosu pro klima z globálního hlediska. EHSV proto vyzývá Evropskou komisi, aby vypracovala dlouhodobou strategii pro způsoby zvýšení a maximalizace globálního „uhlíkového otisku ruky“ EU. EHSV naléhavě vyzývá Komisi, aby strategii v oblasti klimatu koncipovala tak, aby pomohla posílit hospodářství EU a zvýšit blahobyt jejích občanů a současně zmírní změnu klimatu.</w:t>
      </w:r>
    </w:p>
    <w:p w:rsidR="00CF37C7" w:rsidRPr="002E19BA" w:rsidRDefault="00CF37C7" w:rsidP="002E19BA">
      <w:pPr>
        <w:spacing w:line="240" w:lineRule="auto"/>
        <w:jc w:val="both"/>
        <w:rPr>
          <w:rFonts w:cstheme="minorHAnsi"/>
        </w:rPr>
      </w:pPr>
      <w:r w:rsidRPr="002E19BA">
        <w:rPr>
          <w:rFonts w:cstheme="minorHAnsi"/>
        </w:rPr>
        <w:t>Zásadním předpokladem pro dosažení významného dopadu na klima a zamezení úniku uhlíku, poklesu investic a úbytku pracovních míst je globální závazek. EHSV vyzývá Komisi, aby se nadále věnovala aktivní diplomatické činnosti v oblasti klimatu s cílem podpořit rozsáhlé provádění dohody a vybízet velké ekonomiky, aby přijaly stejně ambiciózní závazky jako EU. Výbor také vyzývá Komisi, aby začlenila hlediska klimatu do všech oblastí vnější politiky, zejména do obchodu, investic a rozvojové spolupráce.</w:t>
      </w:r>
    </w:p>
    <w:p w:rsidR="00CF37C7" w:rsidRPr="002E19BA" w:rsidRDefault="00CF37C7" w:rsidP="002E19BA">
      <w:pPr>
        <w:spacing w:line="240" w:lineRule="auto"/>
        <w:jc w:val="both"/>
        <w:rPr>
          <w:rFonts w:cstheme="minorHAnsi"/>
        </w:rPr>
      </w:pPr>
      <w:r w:rsidRPr="002E19BA">
        <w:rPr>
          <w:rFonts w:cstheme="minorHAnsi"/>
        </w:rPr>
        <w:t>EHSV požaduje podstatně větší podporu inovací, od fáze výzkumu až po vstup na trh, aby EU mohla převzít celosvětové vedení v řešeních týkajících se klimatu. Zvláštní pozornost by se měla věnovat potenciálu malých a středních podniků. EU by měla usilovat o to, aby byla takovou klimatickou unií, která bude akčně zaměřená, účinná a z hlediska unijních opatření soudržná. Veškeré úsilí se nyní musí zaměřit na provedení rozhodnutí, která byla doposud učiněna.</w:t>
      </w:r>
    </w:p>
    <w:p w:rsidR="00EE7C82" w:rsidRPr="002E19BA" w:rsidRDefault="00EE7C82" w:rsidP="002E19BA">
      <w:pPr>
        <w:pStyle w:val="Odstavecseseznamem"/>
        <w:numPr>
          <w:ilvl w:val="0"/>
          <w:numId w:val="1"/>
        </w:numPr>
        <w:spacing w:line="240" w:lineRule="auto"/>
        <w:jc w:val="both"/>
        <w:rPr>
          <w:rFonts w:cstheme="minorHAnsi"/>
        </w:rPr>
      </w:pPr>
      <w:r w:rsidRPr="002E19BA">
        <w:rPr>
          <w:rFonts w:cstheme="minorHAnsi"/>
          <w:b/>
        </w:rPr>
        <w:t>REX/464</w:t>
      </w:r>
      <w:r w:rsidRPr="002E19BA">
        <w:rPr>
          <w:rFonts w:cstheme="minorHAnsi"/>
        </w:rPr>
        <w:t xml:space="preserve"> </w:t>
      </w:r>
      <w:r w:rsidRPr="002E19BA">
        <w:rPr>
          <w:rFonts w:cstheme="minorHAnsi"/>
          <w:b/>
        </w:rPr>
        <w:t>Postoj EHSV, pokud jde o konkrétní klíčové otázky TTIP</w:t>
      </w:r>
    </w:p>
    <w:p w:rsidR="00EE7C82" w:rsidRPr="002E19BA" w:rsidRDefault="00EE7C82" w:rsidP="009F2A68">
      <w:pPr>
        <w:spacing w:line="240" w:lineRule="auto"/>
        <w:jc w:val="both"/>
        <w:rPr>
          <w:rFonts w:cstheme="minorHAnsi"/>
        </w:rPr>
      </w:pPr>
      <w:r w:rsidRPr="002E19BA">
        <w:rPr>
          <w:rFonts w:cstheme="minorHAnsi"/>
        </w:rPr>
        <w:t>EHSV sehrává důležitou úlohu, pokud jde o zvýšení informovanosti v rámci diskuse občanské společnosti o transatlantickém partnerství v oblasti obchodu a investic (TTIP), a to na základě řady stanovisek k tomuto tématu, jež přijal v letech 2014 a 2015 a jež se zabývají otázkami, jako jsou mimo jiné pracovní práva, ochrana investic nebo dopad na malé a střední podniky.</w:t>
      </w:r>
    </w:p>
    <w:p w:rsidR="00EE7C82" w:rsidRPr="002E19BA" w:rsidRDefault="00EE7C82" w:rsidP="002E19BA">
      <w:pPr>
        <w:spacing w:line="240" w:lineRule="auto"/>
        <w:jc w:val="both"/>
        <w:rPr>
          <w:rFonts w:cstheme="minorHAnsi"/>
        </w:rPr>
      </w:pPr>
      <w:r w:rsidRPr="002E19BA">
        <w:rPr>
          <w:rFonts w:cstheme="minorHAnsi"/>
        </w:rPr>
        <w:t xml:space="preserve">Za stávajících okolností je důležité, aby se EHSV – přeje-li si zachovat své postavení klíčového subjektu občanské společnosti v rámci diskuse o TTIP – vyslovil k návrhům textů pro jednání o TTIP, která se týkají zásadních témat, jako jsou kapitola o udržitelném rozvoji, spolupráce v oblasti regulace, investice a služby. Výhodou tohoto postupu bude, že vedle vyjádření postoje EHSV k hlavním kapitolám vyjednávání budou rovněž představena konkrétní doporučení a bude zdůrazněna skutečnost, že do provádění uvedených kapitol je třeba zapojit občanskou společnost. </w:t>
      </w:r>
      <w:proofErr w:type="gramStart"/>
      <w:r w:rsidRPr="002E19BA">
        <w:rPr>
          <w:rFonts w:cstheme="minorHAnsi"/>
        </w:rPr>
        <w:t>Stanovisko  v první</w:t>
      </w:r>
      <w:proofErr w:type="gramEnd"/>
      <w:r w:rsidRPr="002E19BA">
        <w:rPr>
          <w:rFonts w:cstheme="minorHAnsi"/>
        </w:rPr>
        <w:t xml:space="preserve"> řadě poslouží jako příspěvek EHSV do diskuse o hlavních relevantních tématech jednání o TTIP. Kromě toho by vyvážené a podrobné stanovisko EHSV přispělo k větší informovanosti v rámci diskuse o klíčových otázkách souvisejících s TTIP.</w:t>
      </w:r>
    </w:p>
    <w:p w:rsidR="00EE7C82" w:rsidRPr="002E19BA" w:rsidRDefault="00EE7C82" w:rsidP="002E19BA">
      <w:pPr>
        <w:spacing w:line="240" w:lineRule="auto"/>
        <w:jc w:val="both"/>
        <w:rPr>
          <w:rFonts w:cstheme="minorHAnsi"/>
        </w:rPr>
      </w:pPr>
      <w:r w:rsidRPr="002E19BA">
        <w:rPr>
          <w:rFonts w:cstheme="minorHAnsi"/>
        </w:rPr>
        <w:t>Jednání o TTIP vstoupila v roce 2016 do důležité fáze. EHSV se proto rozhodl vypracovat stanovisko z vlastní iniciativy ke konkrétním klíčovým otázkám TTIP, v němž podrobně popisuje svůj postoj, který vyjádřil v předchozích stanoviscích, a posuzuje, do jaké míry byly dříve formulované postoje EHSV k TTIP zohledněny v návrzích EU, které má veřejnost v současné době k dispozici. EHSV v tomto stanovisku s ohledem na svou institucionální úlohu předkládá níže uvedená doporučení.</w:t>
      </w:r>
    </w:p>
    <w:p w:rsidR="00EE7C82" w:rsidRPr="002E19BA" w:rsidRDefault="00EE7C82" w:rsidP="002E19BA">
      <w:pPr>
        <w:spacing w:line="240" w:lineRule="auto"/>
        <w:jc w:val="both"/>
        <w:rPr>
          <w:rFonts w:cstheme="minorHAnsi"/>
        </w:rPr>
      </w:pPr>
      <w:r w:rsidRPr="002E19BA">
        <w:rPr>
          <w:rFonts w:cstheme="minorHAnsi"/>
        </w:rPr>
        <w:t>Jednání o TTIP přinášejí nový impuls k posílení spolupráce v oblasti regulace s lepšími vyhlídkami. Výbor proto s uspokojením konstatuje, že je v návrhu EU kladen větší důraz na naplňování cílů veřejné politiky a vysokou úroveň ochrany v řadě konkrétních oblastí. Vítá rovněž to, že spolupráce v oblasti regulace nebude využívána k přijímání právních aktů a nenahradí vnitrostátní regulační postupy. EHSV ovšem žádá, aby kapitola věnovaná osvědčeným regulačním postupům neomezila právo jednotlivých stran regulovat či zavést obdobné postupy, jako je zveřejňování a připomínkování předpisů („</w:t>
      </w:r>
      <w:proofErr w:type="spellStart"/>
      <w:r w:rsidRPr="002E19BA">
        <w:rPr>
          <w:rFonts w:cstheme="minorHAnsi"/>
        </w:rPr>
        <w:t>notice</w:t>
      </w:r>
      <w:proofErr w:type="spellEnd"/>
      <w:r w:rsidRPr="002E19BA">
        <w:rPr>
          <w:rFonts w:cstheme="minorHAnsi"/>
        </w:rPr>
        <w:t xml:space="preserve"> </w:t>
      </w:r>
      <w:proofErr w:type="spellStart"/>
      <w:r w:rsidRPr="002E19BA">
        <w:rPr>
          <w:rFonts w:cstheme="minorHAnsi"/>
        </w:rPr>
        <w:t>and</w:t>
      </w:r>
      <w:proofErr w:type="spellEnd"/>
      <w:r w:rsidRPr="002E19BA">
        <w:rPr>
          <w:rFonts w:cstheme="minorHAnsi"/>
        </w:rPr>
        <w:t xml:space="preserve"> </w:t>
      </w:r>
      <w:proofErr w:type="spellStart"/>
      <w:r w:rsidRPr="002E19BA">
        <w:rPr>
          <w:rFonts w:cstheme="minorHAnsi"/>
        </w:rPr>
        <w:t>comment</w:t>
      </w:r>
      <w:proofErr w:type="spellEnd"/>
      <w:r w:rsidRPr="002E19BA">
        <w:rPr>
          <w:rFonts w:cstheme="minorHAnsi"/>
        </w:rPr>
        <w:t xml:space="preserve">“) v USA. Mimoto EHSV vyzývá Evropskou komisi, aby vyjasnila pravidla pro reprezentativní zapojení zúčastněných stran, zejména sociálních partnerů a zástupců občanské společnosti. </w:t>
      </w:r>
    </w:p>
    <w:p w:rsidR="00EE7C82" w:rsidRPr="002E19BA" w:rsidRDefault="00EE7C82" w:rsidP="002E19BA">
      <w:pPr>
        <w:spacing w:line="240" w:lineRule="auto"/>
        <w:jc w:val="both"/>
        <w:rPr>
          <w:rFonts w:cstheme="minorHAnsi"/>
        </w:rPr>
      </w:pPr>
      <w:r w:rsidRPr="002E19BA">
        <w:rPr>
          <w:rFonts w:cstheme="minorHAnsi"/>
        </w:rPr>
        <w:t xml:space="preserve">EHSV se domnívá, že návrhy týkající se normalizace, technických předpisů, značení a označování je nutno považovat za důležité ofenzivní zájmy Evropské unie. Bere na vědomí důležitá ustanovení týkající se transparentnosti. Vyzývá však k tomu, aby byly vzaty v úvahu obavy, které vyjádřily normalizační orgány EU CEN a CENELEC, pokud jde o rizika vzájemného uznávání dobrovolných norem, a aby byly podrobněji rozvedeny požadavky na značení a označování. Dále EHSV žádá, aby byla poskytnuta další ujištění ohledně uplatňování zásady předběžné opatrnosti. </w:t>
      </w:r>
    </w:p>
    <w:p w:rsidR="00EE7C82" w:rsidRPr="002E19BA" w:rsidRDefault="00EE7C82" w:rsidP="002E19BA">
      <w:pPr>
        <w:spacing w:line="240" w:lineRule="auto"/>
        <w:rPr>
          <w:rFonts w:cstheme="minorHAnsi"/>
        </w:rPr>
      </w:pPr>
    </w:p>
    <w:p w:rsidR="00EE7C82" w:rsidRPr="002E19BA" w:rsidRDefault="00EE7C82" w:rsidP="002E19BA">
      <w:pPr>
        <w:spacing w:line="240" w:lineRule="auto"/>
        <w:rPr>
          <w:rFonts w:cstheme="minorHAnsi"/>
        </w:rPr>
      </w:pPr>
      <w:r w:rsidRPr="002E19BA">
        <w:rPr>
          <w:rFonts w:cstheme="minorHAnsi"/>
        </w:rPr>
        <w:t>Vladimíra Drbalová</w:t>
      </w:r>
    </w:p>
    <w:p w:rsidR="00EE7C82" w:rsidRPr="002E19BA" w:rsidRDefault="00EE7C82" w:rsidP="002E19BA">
      <w:pPr>
        <w:spacing w:line="240" w:lineRule="auto"/>
        <w:rPr>
          <w:rFonts w:cstheme="minorHAnsi"/>
        </w:rPr>
      </w:pPr>
      <w:r w:rsidRPr="002E19BA">
        <w:rPr>
          <w:rFonts w:cstheme="minorHAnsi"/>
        </w:rPr>
        <w:t>Sekce Mezinárodní vztahů</w:t>
      </w:r>
    </w:p>
    <w:p w:rsidR="00EE7C82" w:rsidRPr="002E19BA" w:rsidRDefault="00EE7C82" w:rsidP="002E19BA">
      <w:pPr>
        <w:spacing w:line="240" w:lineRule="auto"/>
        <w:rPr>
          <w:rFonts w:cstheme="minorHAnsi"/>
        </w:rPr>
      </w:pPr>
      <w:r w:rsidRPr="002E19BA">
        <w:rPr>
          <w:rFonts w:cstheme="minorHAnsi"/>
        </w:rPr>
        <w:t>Členka EHSV</w:t>
      </w:r>
    </w:p>
    <w:p w:rsidR="00CF37C7" w:rsidRPr="002E19BA" w:rsidRDefault="00CF37C7" w:rsidP="002E19BA">
      <w:pPr>
        <w:spacing w:line="240" w:lineRule="auto"/>
        <w:jc w:val="both"/>
        <w:rPr>
          <w:rFonts w:cstheme="minorHAnsi"/>
        </w:rPr>
      </w:pPr>
    </w:p>
    <w:p w:rsidR="00354213" w:rsidRPr="002E19BA" w:rsidRDefault="00354213" w:rsidP="002E19BA">
      <w:pPr>
        <w:pStyle w:val="Odstavecseseznamem"/>
        <w:spacing w:line="240" w:lineRule="auto"/>
        <w:jc w:val="both"/>
        <w:rPr>
          <w:rFonts w:cstheme="minorHAnsi"/>
        </w:rPr>
      </w:pPr>
    </w:p>
    <w:p w:rsidR="005C0919" w:rsidRPr="002E19BA" w:rsidRDefault="005C0919" w:rsidP="002E19BA">
      <w:pPr>
        <w:spacing w:line="240" w:lineRule="auto"/>
        <w:rPr>
          <w:rFonts w:cstheme="minorHAnsi"/>
        </w:rPr>
      </w:pPr>
    </w:p>
    <w:sectPr w:rsidR="005C0919" w:rsidRPr="002E19BA" w:rsidSect="0000089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82" w:rsidRDefault="00EE7C82" w:rsidP="00EE7C82">
      <w:pPr>
        <w:spacing w:after="0" w:line="240" w:lineRule="auto"/>
      </w:pPr>
      <w:r>
        <w:separator/>
      </w:r>
    </w:p>
  </w:endnote>
  <w:endnote w:type="continuationSeparator" w:id="0">
    <w:p w:rsidR="00EE7C82" w:rsidRDefault="00EE7C82" w:rsidP="00EE7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82" w:rsidRDefault="00EE7C82" w:rsidP="00EE7C82">
      <w:pPr>
        <w:spacing w:after="0" w:line="240" w:lineRule="auto"/>
      </w:pPr>
      <w:r>
        <w:separator/>
      </w:r>
    </w:p>
  </w:footnote>
  <w:footnote w:type="continuationSeparator" w:id="0">
    <w:p w:rsidR="00EE7C82" w:rsidRDefault="00EE7C82" w:rsidP="00EE7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4179"/>
    <w:multiLevelType w:val="hybridMultilevel"/>
    <w:tmpl w:val="FAFE7674"/>
    <w:lvl w:ilvl="0" w:tplc="C9C044B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6868B4"/>
    <w:multiLevelType w:val="hybridMultilevel"/>
    <w:tmpl w:val="08E0B5D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F628DB"/>
    <w:multiLevelType w:val="hybridMultilevel"/>
    <w:tmpl w:val="9E441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DC019D"/>
    <w:multiLevelType w:val="multilevel"/>
    <w:tmpl w:val="391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CE822BC"/>
    <w:multiLevelType w:val="hybridMultilevel"/>
    <w:tmpl w:val="3B5A4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BF729DA"/>
    <w:multiLevelType w:val="hybridMultilevel"/>
    <w:tmpl w:val="C1C8C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1104043"/>
    <w:multiLevelType w:val="hybridMultilevel"/>
    <w:tmpl w:val="03702C9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27B3BE4"/>
    <w:multiLevelType w:val="multilevel"/>
    <w:tmpl w:val="BDA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8"/>
  </w:num>
  <w:num w:numId="5">
    <w:abstractNumId w:val="0"/>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5C0919"/>
    <w:rsid w:val="00000892"/>
    <w:rsid w:val="00117AF8"/>
    <w:rsid w:val="00227832"/>
    <w:rsid w:val="002E19BA"/>
    <w:rsid w:val="0033349E"/>
    <w:rsid w:val="00354213"/>
    <w:rsid w:val="00420844"/>
    <w:rsid w:val="00576390"/>
    <w:rsid w:val="005C0919"/>
    <w:rsid w:val="00601295"/>
    <w:rsid w:val="00966AA6"/>
    <w:rsid w:val="009F22CA"/>
    <w:rsid w:val="009F2A68"/>
    <w:rsid w:val="00A30124"/>
    <w:rsid w:val="00A56EED"/>
    <w:rsid w:val="00B0501B"/>
    <w:rsid w:val="00C479B2"/>
    <w:rsid w:val="00CF37C7"/>
    <w:rsid w:val="00DF4F61"/>
    <w:rsid w:val="00DF51DF"/>
    <w:rsid w:val="00E47FEE"/>
    <w:rsid w:val="00EE7C82"/>
    <w:rsid w:val="00EF0309"/>
    <w:rsid w:val="00F724D6"/>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2"/>
  </w:style>
  <w:style w:type="paragraph" w:styleId="Nadpis1">
    <w:name w:val="heading 1"/>
    <w:basedOn w:val="Normln"/>
    <w:next w:val="Normln"/>
    <w:link w:val="Nadpis1Char"/>
    <w:uiPriority w:val="9"/>
    <w:qFormat/>
    <w:rsid w:val="005C0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66A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0919"/>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F724D6"/>
    <w:pPr>
      <w:ind w:left="720"/>
      <w:contextualSpacing/>
    </w:pPr>
  </w:style>
  <w:style w:type="character" w:customStyle="1" w:styleId="Nadpis2Char">
    <w:name w:val="Nadpis 2 Char"/>
    <w:basedOn w:val="Standardnpsmoodstavce"/>
    <w:link w:val="Nadpis2"/>
    <w:uiPriority w:val="9"/>
    <w:semiHidden/>
    <w:rsid w:val="00966AA6"/>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227832"/>
    <w:pPr>
      <w:spacing w:before="100" w:beforeAutospacing="1" w:after="100" w:afterAutospacing="1" w:line="240" w:lineRule="auto"/>
    </w:pPr>
    <w:rPr>
      <w:rFonts w:ascii="Times New Roman" w:eastAsia="Times New Roman" w:hAnsi="Times New Roman" w:cs="Times New Roman"/>
      <w:sz w:val="24"/>
      <w:szCs w:val="24"/>
      <w:lang w:eastAsia="cs-CZ" w:bidi="cs-CZ"/>
    </w:rPr>
  </w:style>
  <w:style w:type="paragraph" w:styleId="Textpoznpodarou">
    <w:name w:val="footnote text"/>
    <w:basedOn w:val="Normln"/>
    <w:link w:val="TextpoznpodarouChar"/>
    <w:qFormat/>
    <w:rsid w:val="00420844"/>
    <w:pPr>
      <w:keepLines/>
      <w:overflowPunct w:val="0"/>
      <w:autoSpaceDE w:val="0"/>
      <w:autoSpaceDN w:val="0"/>
      <w:adjustRightInd w:val="0"/>
      <w:spacing w:after="60" w:line="240" w:lineRule="auto"/>
      <w:ind w:left="720" w:hanging="720"/>
      <w:jc w:val="both"/>
      <w:textAlignment w:val="baseline"/>
    </w:pPr>
    <w:rPr>
      <w:rFonts w:ascii="Times New Roman" w:eastAsia="Times New Roman" w:hAnsi="Times New Roman" w:cs="Times New Roman"/>
      <w:sz w:val="16"/>
      <w:szCs w:val="20"/>
      <w:lang w:eastAsia="cs-CZ" w:bidi="cs-CZ"/>
    </w:rPr>
  </w:style>
  <w:style w:type="character" w:customStyle="1" w:styleId="TextpoznpodarouChar">
    <w:name w:val="Text pozn. pod čarou Char"/>
    <w:basedOn w:val="Standardnpsmoodstavce"/>
    <w:link w:val="Textpoznpodarou"/>
    <w:rsid w:val="00420844"/>
    <w:rPr>
      <w:rFonts w:ascii="Times New Roman" w:eastAsia="Times New Roman" w:hAnsi="Times New Roman" w:cs="Times New Roman"/>
      <w:sz w:val="16"/>
      <w:szCs w:val="20"/>
      <w:lang w:eastAsia="cs-CZ" w:bidi="cs-CZ"/>
    </w:rPr>
  </w:style>
  <w:style w:type="character" w:styleId="Hypertextovodkaz">
    <w:name w:val="Hyperlink"/>
    <w:basedOn w:val="Standardnpsmoodstavce"/>
    <w:uiPriority w:val="99"/>
    <w:rsid w:val="00117AF8"/>
    <w:rPr>
      <w:rFonts w:cs="Times New Roman"/>
      <w:color w:val="0000FF"/>
      <w:u w:val="single"/>
    </w:rPr>
  </w:style>
  <w:style w:type="character" w:styleId="Znakapoznpodarou">
    <w:name w:val="footnote reference"/>
    <w:basedOn w:val="Standardnpsmoodstavce"/>
    <w:unhideWhenUsed/>
    <w:qFormat/>
    <w:rsid w:val="00EE7C82"/>
    <w:rPr>
      <w:sz w:val="24"/>
      <w:vertAlign w:val="superscript"/>
    </w:rPr>
  </w:style>
  <w:style w:type="paragraph" w:styleId="FormtovanvHTML">
    <w:name w:val="HTML Preformatted"/>
    <w:basedOn w:val="Normln"/>
    <w:link w:val="FormtovanvHTMLChar"/>
    <w:uiPriority w:val="99"/>
    <w:unhideWhenUsed/>
    <w:rsid w:val="00A3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A30124"/>
    <w:rPr>
      <w:rFonts w:ascii="Courier New" w:eastAsia="Times New Roman" w:hAnsi="Courier New" w:cs="Courier New"/>
      <w:color w:val="000000"/>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EN/TXT/HTML/?uri=URISERV:c11137&amp;fr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3430</Words>
  <Characters>20240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dc:creator>
  <cp:lastModifiedBy>spd</cp:lastModifiedBy>
  <cp:revision>3</cp:revision>
  <dcterms:created xsi:type="dcterms:W3CDTF">2016-09-23T12:08:00Z</dcterms:created>
  <dcterms:modified xsi:type="dcterms:W3CDTF">2016-09-23T12:10:00Z</dcterms:modified>
</cp:coreProperties>
</file>