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85A8F" w14:textId="47E3EDFD" w:rsidR="00523CBF" w:rsidRPr="00523CBF" w:rsidRDefault="00EA5A69" w:rsidP="004605D2">
      <w:pPr>
        <w:pStyle w:val="Pagedecouverture"/>
      </w:pPr>
      <w:bookmarkStart w:id="0" w:name="LW_BM_COVERPAGE"/>
      <w:bookmarkStart w:id="1" w:name="_Toc440028495"/>
      <w:bookmarkStart w:id="2" w:name="_Toc440614173"/>
      <w:r>
        <w:pict w14:anchorId="394DB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6689E29718A40E780EFFC1486412425" style="width:449.6pt;height:334.05pt">
            <v:imagedata r:id="rId9" o:title=""/>
          </v:shape>
        </w:pict>
      </w:r>
    </w:p>
    <w:bookmarkEnd w:id="0"/>
    <w:p w14:paraId="01B10C51" w14:textId="77777777" w:rsidR="003C755C" w:rsidRDefault="003C755C" w:rsidP="003C755C">
      <w:pPr>
        <w:sectPr w:rsidR="003C755C" w:rsidSect="004605D2">
          <w:headerReference w:type="even" r:id="rId10"/>
          <w:headerReference w:type="default" r:id="rId11"/>
          <w:footerReference w:type="even" r:id="rId12"/>
          <w:footerReference w:type="default" r:id="rId13"/>
          <w:headerReference w:type="first" r:id="rId14"/>
          <w:footerReference w:type="first" r:id="rId15"/>
          <w:pgSz w:w="11906" w:h="16838"/>
          <w:pgMar w:top="1134" w:right="1417" w:bottom="1134" w:left="1417" w:header="709" w:footer="709" w:gutter="0"/>
          <w:pgNumType w:start="1"/>
          <w:cols w:space="720"/>
          <w:docGrid w:linePitch="360"/>
        </w:sectPr>
      </w:pPr>
    </w:p>
    <w:p w14:paraId="4F64A3AA" w14:textId="77777777" w:rsidR="00BD75A2" w:rsidRPr="006A5D85" w:rsidRDefault="00BD75A2" w:rsidP="00BD75A2">
      <w:pPr>
        <w:pStyle w:val="Heading1"/>
        <w:rPr>
          <w:rFonts w:ascii="Times New Roman" w:hAnsi="Times New Roman" w:cs="Times New Roman"/>
          <w:smallCaps/>
        </w:rPr>
      </w:pPr>
      <w:bookmarkStart w:id="3" w:name="_Toc431403944"/>
      <w:bookmarkEnd w:id="1"/>
      <w:bookmarkEnd w:id="2"/>
      <w:bookmarkEnd w:id="3"/>
      <w:r w:rsidRPr="006A5D85">
        <w:rPr>
          <w:rFonts w:ascii="Times New Roman" w:hAnsi="Times New Roman" w:cs="Times New Roman"/>
          <w:smallCaps/>
        </w:rPr>
        <w:lastRenderedPageBreak/>
        <w:t>Europe's steel industry and its main challenges</w:t>
      </w:r>
    </w:p>
    <w:p w14:paraId="62E77F22" w14:textId="77777777" w:rsidR="00BD75A2" w:rsidRDefault="00BD75A2" w:rsidP="00BD75A2">
      <w:pPr>
        <w:spacing w:after="120"/>
        <w:rPr>
          <w:rFonts w:ascii="Times New Roman" w:hAnsi="Times New Roman"/>
          <w:sz w:val="24"/>
          <w:szCs w:val="24"/>
        </w:rPr>
      </w:pPr>
      <w:r w:rsidRPr="00244E76">
        <w:rPr>
          <w:rFonts w:ascii="Times New Roman" w:hAnsi="Times New Roman"/>
          <w:b/>
          <w:sz w:val="24"/>
          <w:szCs w:val="24"/>
        </w:rPr>
        <w:t>A robust industrial base is essential for Europe's economic growth</w:t>
      </w:r>
      <w:r>
        <w:rPr>
          <w:rFonts w:ascii="Times New Roman" w:hAnsi="Times New Roman"/>
          <w:b/>
          <w:sz w:val="24"/>
          <w:szCs w:val="24"/>
        </w:rPr>
        <w:t>, preservation of sustainable jobs</w:t>
      </w:r>
      <w:r w:rsidRPr="00244E76">
        <w:rPr>
          <w:rFonts w:ascii="Times New Roman" w:hAnsi="Times New Roman"/>
          <w:b/>
          <w:sz w:val="24"/>
          <w:szCs w:val="24"/>
        </w:rPr>
        <w:t xml:space="preserve"> and </w:t>
      </w:r>
      <w:r>
        <w:rPr>
          <w:rFonts w:ascii="Times New Roman" w:hAnsi="Times New Roman"/>
          <w:b/>
          <w:sz w:val="24"/>
          <w:szCs w:val="24"/>
        </w:rPr>
        <w:t xml:space="preserve">our </w:t>
      </w:r>
      <w:r w:rsidRPr="00244E76">
        <w:rPr>
          <w:rFonts w:ascii="Times New Roman" w:hAnsi="Times New Roman"/>
          <w:b/>
          <w:sz w:val="24"/>
          <w:szCs w:val="24"/>
        </w:rPr>
        <w:t>competitiveness on global markets.</w:t>
      </w:r>
      <w:r>
        <w:rPr>
          <w:rFonts w:ascii="Times New Roman" w:hAnsi="Times New Roman"/>
          <w:sz w:val="24"/>
          <w:szCs w:val="24"/>
        </w:rPr>
        <w:t xml:space="preserve"> </w:t>
      </w:r>
    </w:p>
    <w:p w14:paraId="6605150A" w14:textId="77777777" w:rsidR="00BD75A2" w:rsidRDefault="00BD75A2" w:rsidP="00BD75A2">
      <w:pPr>
        <w:spacing w:after="120"/>
        <w:rPr>
          <w:rFonts w:ascii="Times New Roman" w:hAnsi="Times New Roman"/>
          <w:sz w:val="24"/>
          <w:szCs w:val="24"/>
        </w:rPr>
      </w:pPr>
      <w:r w:rsidRPr="00903478">
        <w:rPr>
          <w:rFonts w:ascii="Times New Roman" w:hAnsi="Times New Roman"/>
          <w:sz w:val="24"/>
          <w:szCs w:val="24"/>
        </w:rPr>
        <w:t xml:space="preserve">A strong steel sector forms the basis of many industrial value chains. The steel sector in </w:t>
      </w:r>
      <w:r w:rsidRPr="00A94A48">
        <w:rPr>
          <w:rFonts w:ascii="Times New Roman" w:hAnsi="Times New Roman"/>
          <w:sz w:val="24"/>
          <w:szCs w:val="24"/>
        </w:rPr>
        <w:t>Europe has an annual turnover</w:t>
      </w:r>
      <w:r w:rsidRPr="00A94A48">
        <w:rPr>
          <w:rStyle w:val="FootnoteReference"/>
          <w:rFonts w:ascii="Times New Roman" w:hAnsi="Times New Roman"/>
          <w:sz w:val="24"/>
          <w:szCs w:val="24"/>
        </w:rPr>
        <w:footnoteReference w:id="2"/>
      </w:r>
      <w:r w:rsidRPr="00A94A48">
        <w:rPr>
          <w:rFonts w:ascii="Times New Roman" w:hAnsi="Times New Roman"/>
          <w:sz w:val="24"/>
          <w:szCs w:val="24"/>
        </w:rPr>
        <w:t xml:space="preserve"> of EUR 166 billion and is responsible for 1.3% of EU GDP. In 2015 it provided 328 000 direct jobs with an even greater number of dependent jobs. </w:t>
      </w:r>
      <w:r w:rsidRPr="00EF41E7">
        <w:rPr>
          <w:rFonts w:ascii="Times New Roman" w:hAnsi="Times New Roman"/>
          <w:sz w:val="24"/>
          <w:szCs w:val="24"/>
        </w:rPr>
        <w:t>The European steel sector is characterised by modern, energy- and CO2 efficient plants producing high value added or niche products for the world market, based on an outstanding R&amp;D network.</w:t>
      </w:r>
      <w:r w:rsidRPr="00A94A48">
        <w:rPr>
          <w:rFonts w:ascii="Times New Roman" w:hAnsi="Times New Roman"/>
          <w:sz w:val="24"/>
          <w:szCs w:val="24"/>
        </w:rPr>
        <w:t xml:space="preserve"> The European Union is the second steel producer after China, producing on average </w:t>
      </w:r>
      <w:r w:rsidRPr="0007161A">
        <w:rPr>
          <w:rFonts w:ascii="Times New Roman" w:hAnsi="Times New Roman"/>
          <w:sz w:val="24"/>
          <w:szCs w:val="24"/>
        </w:rPr>
        <w:t xml:space="preserve">170 million tonnes of crude steel per year. </w:t>
      </w:r>
      <w:r>
        <w:rPr>
          <w:rFonts w:ascii="Times New Roman" w:hAnsi="Times New Roman"/>
          <w:sz w:val="24"/>
          <w:szCs w:val="24"/>
        </w:rPr>
        <w:t>European</w:t>
      </w:r>
      <w:r w:rsidRPr="00D66FF2">
        <w:rPr>
          <w:rFonts w:ascii="Times New Roman" w:hAnsi="Times New Roman"/>
          <w:sz w:val="24"/>
          <w:szCs w:val="24"/>
        </w:rPr>
        <w:t xml:space="preserve"> steel industry remains </w:t>
      </w:r>
      <w:r>
        <w:rPr>
          <w:rFonts w:ascii="Times New Roman" w:hAnsi="Times New Roman"/>
          <w:sz w:val="24"/>
          <w:szCs w:val="24"/>
        </w:rPr>
        <w:t>a world leader i</w:t>
      </w:r>
      <w:r w:rsidRPr="00D66FF2">
        <w:rPr>
          <w:rFonts w:ascii="Times New Roman" w:hAnsi="Times New Roman"/>
          <w:sz w:val="24"/>
          <w:szCs w:val="24"/>
        </w:rPr>
        <w:t xml:space="preserve">n </w:t>
      </w:r>
      <w:r>
        <w:rPr>
          <w:rFonts w:ascii="Times New Roman" w:hAnsi="Times New Roman"/>
          <w:sz w:val="24"/>
          <w:szCs w:val="24"/>
        </w:rPr>
        <w:t>the</w:t>
      </w:r>
      <w:r w:rsidRPr="00D66FF2">
        <w:rPr>
          <w:rFonts w:ascii="Times New Roman" w:hAnsi="Times New Roman"/>
          <w:sz w:val="24"/>
          <w:szCs w:val="24"/>
        </w:rPr>
        <w:t xml:space="preserve"> </w:t>
      </w:r>
      <w:r w:rsidRPr="00C66626">
        <w:rPr>
          <w:rFonts w:ascii="Times New Roman" w:hAnsi="Times New Roman"/>
          <w:sz w:val="24"/>
          <w:szCs w:val="24"/>
        </w:rPr>
        <w:t>highly technologically speciali</w:t>
      </w:r>
      <w:r>
        <w:rPr>
          <w:rFonts w:ascii="Times New Roman" w:hAnsi="Times New Roman"/>
          <w:sz w:val="24"/>
          <w:szCs w:val="24"/>
        </w:rPr>
        <w:t>s</w:t>
      </w:r>
      <w:r w:rsidRPr="00C66626">
        <w:rPr>
          <w:rFonts w:ascii="Times New Roman" w:hAnsi="Times New Roman"/>
          <w:sz w:val="24"/>
          <w:szCs w:val="24"/>
        </w:rPr>
        <w:t>ed product segment</w:t>
      </w:r>
      <w:r>
        <w:rPr>
          <w:rFonts w:ascii="Times New Roman" w:hAnsi="Times New Roman"/>
          <w:sz w:val="24"/>
          <w:szCs w:val="24"/>
        </w:rPr>
        <w:t>.</w:t>
      </w:r>
    </w:p>
    <w:p w14:paraId="6C050ABB" w14:textId="77777777" w:rsidR="00BD75A2" w:rsidRDefault="00BD75A2" w:rsidP="00BD75A2">
      <w:pPr>
        <w:spacing w:after="120"/>
        <w:rPr>
          <w:rFonts w:ascii="Times New Roman" w:hAnsi="Times New Roman"/>
          <w:sz w:val="24"/>
          <w:szCs w:val="24"/>
        </w:rPr>
      </w:pPr>
    </w:p>
    <w:p w14:paraId="18798991" w14:textId="77777777" w:rsidR="00BD75A2" w:rsidRPr="0007161A" w:rsidRDefault="00BD75A2" w:rsidP="00BD75A2">
      <w:pPr>
        <w:spacing w:after="120"/>
        <w:ind w:left="1440"/>
        <w:rPr>
          <w:rFonts w:ascii="Times New Roman" w:hAnsi="Times New Roman"/>
          <w:sz w:val="24"/>
          <w:szCs w:val="24"/>
        </w:rPr>
      </w:pPr>
      <w:r>
        <w:rPr>
          <w:noProof/>
          <w:lang w:eastAsia="en-GB"/>
        </w:rPr>
        <w:drawing>
          <wp:inline distT="0" distB="0" distL="0" distR="0" wp14:anchorId="5E120C7C" wp14:editId="7575D466">
            <wp:extent cx="4270076" cy="2087593"/>
            <wp:effectExtent l="0" t="0" r="16510" b="273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9F4D3B" w14:textId="18E2D7B9" w:rsidR="00BD75A2" w:rsidRPr="00C950DC" w:rsidRDefault="00BD75A2" w:rsidP="00BD75A2">
      <w:pPr>
        <w:spacing w:after="120"/>
        <w:rPr>
          <w:rFonts w:ascii="Times New Roman" w:hAnsi="Times New Roman"/>
          <w:sz w:val="24"/>
          <w:szCs w:val="24"/>
        </w:rPr>
      </w:pPr>
      <w:r w:rsidRPr="00BE6E1C">
        <w:rPr>
          <w:rFonts w:ascii="Times New Roman" w:hAnsi="Times New Roman"/>
          <w:sz w:val="24"/>
          <w:szCs w:val="24"/>
        </w:rPr>
        <w:t xml:space="preserve">Despite its strong potential, Europe's competitive position on the global steel market has </w:t>
      </w:r>
      <w:r w:rsidRPr="00C950DC">
        <w:rPr>
          <w:rFonts w:ascii="Times New Roman" w:hAnsi="Times New Roman"/>
          <w:sz w:val="24"/>
          <w:szCs w:val="24"/>
        </w:rPr>
        <w:t xml:space="preserve">deteriorated </w:t>
      </w:r>
      <w:r w:rsidRPr="00CE787A">
        <w:rPr>
          <w:rFonts w:ascii="Times New Roman" w:hAnsi="Times New Roman"/>
          <w:sz w:val="24"/>
          <w:szCs w:val="24"/>
        </w:rPr>
        <w:t xml:space="preserve">in the last few years. While global demand remained buoyant in the wake of the economic and financial crisis, the economic slowdown in China and other emerging economies had a negative impact on </w:t>
      </w:r>
      <w:r w:rsidRPr="00BE6E1C">
        <w:rPr>
          <w:rFonts w:ascii="Times New Roman" w:hAnsi="Times New Roman"/>
          <w:sz w:val="24"/>
          <w:szCs w:val="24"/>
        </w:rPr>
        <w:t>global steel demand since 2014. In addition, the spare production capacity in certain third countries, notably in China, has increased dramatically. The overcapacity in China alone has been estimated at around 350 million tonnes</w:t>
      </w:r>
      <w:r w:rsidRPr="00DE5CE6">
        <w:rPr>
          <w:rFonts w:ascii="Times New Roman" w:hAnsi="Times New Roman"/>
          <w:sz w:val="24"/>
          <w:vertAlign w:val="superscript"/>
        </w:rPr>
        <w:footnoteReference w:id="3"/>
      </w:r>
      <w:r w:rsidRPr="00BE6E1C">
        <w:rPr>
          <w:rFonts w:ascii="Times New Roman" w:hAnsi="Times New Roman"/>
          <w:sz w:val="24"/>
          <w:szCs w:val="24"/>
        </w:rPr>
        <w:t xml:space="preserve">, almost the double of the Union's annual production. </w:t>
      </w:r>
    </w:p>
    <w:p w14:paraId="3F6283D6" w14:textId="77777777" w:rsidR="00BD75A2" w:rsidRPr="0042000A" w:rsidRDefault="00BD75A2" w:rsidP="00BD75A2">
      <w:pPr>
        <w:spacing w:after="120"/>
        <w:ind w:left="1440"/>
        <w:rPr>
          <w:rFonts w:ascii="Times New Roman" w:hAnsi="Times New Roman"/>
          <w:sz w:val="24"/>
          <w:szCs w:val="24"/>
        </w:rPr>
      </w:pPr>
      <w:r>
        <w:rPr>
          <w:noProof/>
          <w:lang w:eastAsia="en-GB"/>
        </w:rPr>
        <w:lastRenderedPageBreak/>
        <w:drawing>
          <wp:inline distT="0" distB="0" distL="0" distR="0" wp14:anchorId="446247B6" wp14:editId="0965F84C">
            <wp:extent cx="3709359" cy="3191774"/>
            <wp:effectExtent l="0" t="0" r="24765"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1687372" w14:textId="1F1CB238" w:rsidR="00BD75A2" w:rsidRPr="00BE6E1C" w:rsidRDefault="00BD75A2" w:rsidP="00BD75A2">
      <w:pPr>
        <w:spacing w:after="120"/>
        <w:rPr>
          <w:rFonts w:ascii="Times New Roman" w:hAnsi="Times New Roman"/>
          <w:sz w:val="24"/>
          <w:szCs w:val="24"/>
        </w:rPr>
      </w:pPr>
      <w:r w:rsidRPr="00BE6E1C">
        <w:rPr>
          <w:rFonts w:ascii="Times New Roman" w:hAnsi="Times New Roman"/>
          <w:sz w:val="24"/>
          <w:szCs w:val="24"/>
        </w:rPr>
        <w:t xml:space="preserve">The excess production of steel </w:t>
      </w:r>
      <w:r w:rsidRPr="00C950DC">
        <w:rPr>
          <w:rFonts w:ascii="Times New Roman" w:hAnsi="Times New Roman"/>
          <w:sz w:val="24"/>
          <w:szCs w:val="24"/>
        </w:rPr>
        <w:t xml:space="preserve">has </w:t>
      </w:r>
      <w:r w:rsidRPr="00CE787A">
        <w:rPr>
          <w:rFonts w:ascii="Times New Roman" w:hAnsi="Times New Roman"/>
          <w:sz w:val="24"/>
          <w:szCs w:val="24"/>
        </w:rPr>
        <w:t xml:space="preserve">recently </w:t>
      </w:r>
      <w:r w:rsidRPr="00BE6E1C">
        <w:rPr>
          <w:rFonts w:ascii="Times New Roman" w:hAnsi="Times New Roman"/>
          <w:sz w:val="24"/>
          <w:szCs w:val="24"/>
        </w:rPr>
        <w:t xml:space="preserve">led to a dramatic increase of exports, destabilising global steel markets and depressing steel prices world-wide. Steel imports from China to the EU have surged in the last three years. Market prices for some steel products collapsed by up to 40% due to the surge of volumes. Some third countries have reacted by imposing trade restrictions and other forms of trade barriers. In addition, the overcapacity gave rise to an unprecedented wave of unfair trading practices distorting the global level playing field. These trading practices would shift the burden of global overcapacity disproportionately towards European producers and their employees. In 2015 and early 2016 alone, the Commission had to launch </w:t>
      </w:r>
      <w:r w:rsidR="00EA5A69">
        <w:rPr>
          <w:rFonts w:ascii="Times New Roman" w:hAnsi="Times New Roman"/>
          <w:sz w:val="24"/>
          <w:szCs w:val="24"/>
        </w:rPr>
        <w:t>ten</w:t>
      </w:r>
      <w:bookmarkStart w:id="4" w:name="_GoBack"/>
      <w:bookmarkEnd w:id="4"/>
      <w:r w:rsidRPr="00BE6E1C">
        <w:rPr>
          <w:rFonts w:ascii="Times New Roman" w:hAnsi="Times New Roman"/>
          <w:sz w:val="24"/>
          <w:szCs w:val="24"/>
        </w:rPr>
        <w:t xml:space="preserve"> new investigations against unfair trading practices relating to steel. </w:t>
      </w:r>
    </w:p>
    <w:p w14:paraId="5F21B9EC" w14:textId="77777777" w:rsidR="00BD75A2" w:rsidRPr="00BE6E1C" w:rsidRDefault="00BD75A2" w:rsidP="00BD75A2">
      <w:pPr>
        <w:spacing w:after="120"/>
        <w:rPr>
          <w:rFonts w:ascii="Times New Roman" w:hAnsi="Times New Roman"/>
          <w:sz w:val="24"/>
          <w:szCs w:val="24"/>
        </w:rPr>
      </w:pPr>
      <w:r w:rsidRPr="00BE6E1C">
        <w:rPr>
          <w:rFonts w:ascii="Times New Roman" w:hAnsi="Times New Roman"/>
          <w:sz w:val="24"/>
          <w:szCs w:val="24"/>
        </w:rPr>
        <w:t xml:space="preserve">These circumstances compound a number of additional long-term challenges requiring a forceful response at the European level, helping the steel sector to adapt, innovate and use its potential in terms of quality, cutting-edge technology and a highly skilled workforce. A comprehensive response is needed by industry, Member States and the EU institutions. </w:t>
      </w:r>
    </w:p>
    <w:p w14:paraId="2BE686F3" w14:textId="77777777" w:rsidR="00BD75A2" w:rsidRPr="00BE6E1C" w:rsidRDefault="00BD75A2" w:rsidP="00BD75A2">
      <w:pPr>
        <w:pStyle w:val="Heading1"/>
        <w:rPr>
          <w:rFonts w:ascii="Times New Roman" w:hAnsi="Times New Roman" w:cs="Times New Roman"/>
          <w:smallCaps/>
        </w:rPr>
      </w:pPr>
      <w:bookmarkStart w:id="5" w:name="_Toc440028455"/>
      <w:bookmarkStart w:id="6" w:name="_Toc440029044"/>
      <w:bookmarkEnd w:id="5"/>
      <w:bookmarkEnd w:id="6"/>
      <w:r w:rsidRPr="00BE6E1C">
        <w:rPr>
          <w:rFonts w:ascii="Times New Roman" w:hAnsi="Times New Roman" w:cs="Times New Roman"/>
          <w:smallCaps/>
        </w:rPr>
        <w:t>Facing the challenges</w:t>
      </w:r>
    </w:p>
    <w:p w14:paraId="45D3E78D" w14:textId="77777777" w:rsidR="00BD75A2" w:rsidRPr="00BE6E1C" w:rsidRDefault="00BD75A2" w:rsidP="00BD75A2">
      <w:pPr>
        <w:spacing w:after="120"/>
        <w:rPr>
          <w:rFonts w:ascii="Times New Roman" w:hAnsi="Times New Roman"/>
          <w:b/>
          <w:sz w:val="24"/>
          <w:szCs w:val="24"/>
        </w:rPr>
      </w:pPr>
      <w:r w:rsidRPr="00BE6E1C">
        <w:rPr>
          <w:rFonts w:ascii="Times New Roman" w:hAnsi="Times New Roman"/>
          <w:b/>
          <w:sz w:val="24"/>
          <w:szCs w:val="24"/>
        </w:rPr>
        <w:t xml:space="preserve">Short-term and long-term measures are needed in response to these developments. Action has been taken already, but continued and enhanced joint efforts are needed to provide, with a greater sense of urgency, adequate responses to the various challenges. Best use needs to be made of all available instruments at European and national level to bring relief to the sector and accompany its modernisation. </w:t>
      </w:r>
    </w:p>
    <w:p w14:paraId="6D66ECCE" w14:textId="6B124C66" w:rsidR="00BD75A2" w:rsidRPr="00BE6E1C" w:rsidRDefault="00BD75A2" w:rsidP="00BD75A2">
      <w:pPr>
        <w:spacing w:after="120"/>
        <w:rPr>
          <w:rFonts w:ascii="Times New Roman" w:hAnsi="Times New Roman"/>
          <w:sz w:val="24"/>
          <w:szCs w:val="24"/>
        </w:rPr>
      </w:pPr>
      <w:r w:rsidRPr="00BE6E1C">
        <w:rPr>
          <w:rFonts w:ascii="Times New Roman" w:hAnsi="Times New Roman"/>
          <w:sz w:val="24"/>
          <w:szCs w:val="24"/>
        </w:rPr>
        <w:t xml:space="preserve">The situation of the steel industry in Europe is high on the Commission's agenda. In February 2016, the Commission therefore hosted a high level conference on energy intensive industries to take stock of measures taken in the current context, including the implementation of the </w:t>
      </w:r>
      <w:r w:rsidRPr="00BE6E1C">
        <w:rPr>
          <w:rFonts w:ascii="Times New Roman" w:hAnsi="Times New Roman"/>
          <w:sz w:val="24"/>
          <w:szCs w:val="24"/>
        </w:rPr>
        <w:lastRenderedPageBreak/>
        <w:t>2013 Steel Action Plan</w:t>
      </w:r>
      <w:r w:rsidRPr="00BE6E1C">
        <w:rPr>
          <w:rStyle w:val="FootnoteReference"/>
          <w:rFonts w:ascii="Times New Roman" w:hAnsi="Times New Roman"/>
          <w:sz w:val="24"/>
          <w:szCs w:val="24"/>
        </w:rPr>
        <w:footnoteReference w:id="4"/>
      </w:r>
      <w:r w:rsidRPr="00BE6E1C">
        <w:rPr>
          <w:rFonts w:ascii="Times New Roman" w:hAnsi="Times New Roman"/>
          <w:sz w:val="24"/>
          <w:szCs w:val="24"/>
        </w:rPr>
        <w:t>. The issue has been discussed with the Competitiveness Council in November 2015 and in February 2016, as well as with the European Parliament in the context of its Resolution on 'Developing a sustainable European industry of base metals'</w:t>
      </w:r>
      <w:r w:rsidRPr="00BE6E1C">
        <w:rPr>
          <w:rStyle w:val="FootnoteReference"/>
          <w:rFonts w:ascii="Times New Roman" w:hAnsi="Times New Roman"/>
          <w:sz w:val="24"/>
          <w:szCs w:val="24"/>
        </w:rPr>
        <w:footnoteReference w:id="5"/>
      </w:r>
      <w:r w:rsidRPr="00BE6E1C">
        <w:rPr>
          <w:rFonts w:ascii="Times New Roman" w:hAnsi="Times New Roman"/>
          <w:sz w:val="24"/>
          <w:szCs w:val="24"/>
        </w:rPr>
        <w:t xml:space="preserve"> in December 2015. </w:t>
      </w:r>
      <w:r w:rsidR="00753822" w:rsidRPr="00753822">
        <w:rPr>
          <w:rFonts w:ascii="Times New Roman" w:hAnsi="Times New Roman"/>
          <w:sz w:val="24"/>
          <w:szCs w:val="24"/>
        </w:rPr>
        <w:t>The High-level Group on energy-intensive industries provides a forum for discussion between all relevant stakeholders.</w:t>
      </w:r>
    </w:p>
    <w:p w14:paraId="209779D9" w14:textId="77777777" w:rsidR="00BD75A2" w:rsidRPr="00BE6E1C" w:rsidRDefault="00BD75A2" w:rsidP="00BD75A2">
      <w:pPr>
        <w:spacing w:after="120"/>
        <w:rPr>
          <w:rFonts w:ascii="Times New Roman" w:hAnsi="Times New Roman"/>
          <w:sz w:val="24"/>
          <w:szCs w:val="24"/>
        </w:rPr>
      </w:pPr>
      <w:r w:rsidRPr="00BE6E1C">
        <w:rPr>
          <w:rFonts w:ascii="Times New Roman" w:hAnsi="Times New Roman"/>
          <w:sz w:val="24"/>
          <w:szCs w:val="24"/>
        </w:rPr>
        <w:t xml:space="preserve">The Commission is implementing and strengthening actions which are instrumental for bringing immediate relief to the industry and restoring a level playing field. But a joint effort is needed to go further. Short-term measures alone will not suffice to guarantee the long-term competitiveness and sustainability of energy intensive industries like steel. Their future depends on their ability to embrace modernisation and implement innovations. Past efforts have been rewarded by making the EU steel industry more dynamic, innovative and customer-oriented. These efforts need to be supported and stepped up if we are to tackle today's challenges. </w:t>
      </w:r>
    </w:p>
    <w:p w14:paraId="6E2A3998" w14:textId="6D596111" w:rsidR="00BD75A2" w:rsidRPr="00BE6E1C" w:rsidRDefault="00BD75A2" w:rsidP="00BD75A2">
      <w:pPr>
        <w:spacing w:after="120"/>
        <w:rPr>
          <w:rFonts w:ascii="Times New Roman" w:hAnsi="Times New Roman"/>
          <w:sz w:val="24"/>
          <w:szCs w:val="24"/>
        </w:rPr>
      </w:pPr>
      <w:r w:rsidRPr="00BE6E1C">
        <w:rPr>
          <w:rFonts w:ascii="Times New Roman" w:hAnsi="Times New Roman"/>
          <w:sz w:val="24"/>
          <w:szCs w:val="24"/>
        </w:rPr>
        <w:t xml:space="preserve">The European Union and its Member States can help the steel industry and other energy-intensive industries by promoting investment and creating a favourable business environment. The Commission's strong focus on jobs and growth, as well as strategic initiatives such as the Investment Plan and the Capital Markets Union, the Single Market Strategy, the Digital Single Market Strategy, the Energy Union or the Circular Economy contribute to that objective. In addition, a number of European funding instruments can assist in implementing the necessary reforms and attenuating problems arising during the inevitable transformation of the industry of base metals. They should be used to the fullest extent and in an accelerated manner. </w:t>
      </w:r>
    </w:p>
    <w:p w14:paraId="64F06C29" w14:textId="77777777" w:rsidR="00BD75A2" w:rsidRPr="00BE6E1C" w:rsidRDefault="00BD75A2" w:rsidP="00BD75A2">
      <w:pPr>
        <w:pStyle w:val="Heading1"/>
        <w:numPr>
          <w:ilvl w:val="0"/>
          <w:numId w:val="36"/>
        </w:numPr>
        <w:rPr>
          <w:rFonts w:ascii="Times New Roman" w:hAnsi="Times New Roman" w:cs="Times New Roman"/>
          <w:smallCaps/>
        </w:rPr>
      </w:pPr>
      <w:r w:rsidRPr="00BE6E1C">
        <w:rPr>
          <w:rFonts w:ascii="Times New Roman" w:hAnsi="Times New Roman" w:cs="Times New Roman"/>
          <w:smallCaps/>
        </w:rPr>
        <w:t>An effective and responsible trade policy</w:t>
      </w:r>
    </w:p>
    <w:p w14:paraId="767248F8" w14:textId="77777777" w:rsidR="00BD75A2" w:rsidRPr="00BE6E1C" w:rsidRDefault="00BD75A2" w:rsidP="00BD75A2">
      <w:pPr>
        <w:rPr>
          <w:rFonts w:ascii="Times New Roman" w:hAnsi="Times New Roman"/>
          <w:b/>
          <w:i/>
          <w:sz w:val="24"/>
          <w:szCs w:val="24"/>
        </w:rPr>
      </w:pPr>
      <w:r w:rsidRPr="00BE6E1C">
        <w:rPr>
          <w:rFonts w:ascii="Times New Roman" w:hAnsi="Times New Roman"/>
          <w:b/>
          <w:i/>
          <w:sz w:val="24"/>
          <w:szCs w:val="24"/>
        </w:rPr>
        <w:t>Acting together to strengthen our defences against unfair trade practices</w:t>
      </w:r>
    </w:p>
    <w:p w14:paraId="19663766" w14:textId="77777777" w:rsidR="00BD75A2" w:rsidRPr="00BE6E1C" w:rsidRDefault="00BD75A2" w:rsidP="00BD75A2">
      <w:pPr>
        <w:rPr>
          <w:rFonts w:ascii="Times New Roman" w:hAnsi="Times New Roman"/>
          <w:b/>
          <w:sz w:val="24"/>
          <w:szCs w:val="24"/>
        </w:rPr>
      </w:pPr>
      <w:r w:rsidRPr="00BE6E1C">
        <w:rPr>
          <w:rFonts w:ascii="Times New Roman" w:hAnsi="Times New Roman"/>
          <w:b/>
          <w:sz w:val="24"/>
          <w:szCs w:val="24"/>
        </w:rPr>
        <w:t xml:space="preserve">The Commission is imposing a record number of trade defence measures to offset the detrimental effect of dumping on Europe's steel industry. The efficiency and effectiveness of our action can however be significantly enhanced, accelerated and further improved if Member States support the Commission’s efforts. </w:t>
      </w:r>
    </w:p>
    <w:p w14:paraId="01680DB7" w14:textId="77777777" w:rsidR="00BD75A2" w:rsidRPr="00BE6E1C" w:rsidRDefault="00BD75A2" w:rsidP="00BD75A2">
      <w:pPr>
        <w:rPr>
          <w:rFonts w:ascii="Times New Roman" w:hAnsi="Times New Roman"/>
          <w:b/>
          <w:i/>
          <w:sz w:val="24"/>
          <w:szCs w:val="24"/>
        </w:rPr>
      </w:pPr>
      <w:r w:rsidRPr="00BE6E1C">
        <w:rPr>
          <w:rFonts w:ascii="Times New Roman" w:hAnsi="Times New Roman"/>
          <w:b/>
          <w:i/>
          <w:sz w:val="24"/>
          <w:szCs w:val="24"/>
        </w:rPr>
        <w:t>Current efforts to strengthen trade defence</w:t>
      </w:r>
    </w:p>
    <w:p w14:paraId="0FE2C7CD" w14:textId="77777777" w:rsidR="00BD75A2" w:rsidRPr="00BE6E1C" w:rsidRDefault="00BD75A2" w:rsidP="00BD75A2">
      <w:pPr>
        <w:rPr>
          <w:rFonts w:ascii="Times New Roman" w:hAnsi="Times New Roman"/>
          <w:sz w:val="24"/>
          <w:szCs w:val="24"/>
        </w:rPr>
      </w:pPr>
      <w:r w:rsidRPr="00BE6E1C">
        <w:rPr>
          <w:rFonts w:ascii="Times New Roman" w:hAnsi="Times New Roman"/>
          <w:sz w:val="24"/>
          <w:szCs w:val="24"/>
        </w:rPr>
        <w:t xml:space="preserve">The number of trade defence measures on steel products has reached 37 in total with 16 measures concerning imports from China. The pace of adopting measures has accelerated with five measures imposed in 2014 and seven in 2015. The Commission is mobilising additional tools, for example it is now opening investigations based on a threat of injury. Moreover, the Commission ensures that the industry gets actual relief significantly before provisional measures are imposed. This is achieved by registering imports prior to the adoption of provisional measures. This allows the Commission to retroactively apply </w:t>
      </w:r>
      <w:r w:rsidRPr="00BE6E1C">
        <w:rPr>
          <w:rFonts w:ascii="Times New Roman" w:hAnsi="Times New Roman"/>
          <w:sz w:val="24"/>
          <w:szCs w:val="24"/>
        </w:rPr>
        <w:lastRenderedPageBreak/>
        <w:t xml:space="preserve">definitive antidumping duties three months before the adoption of provisional measures, where the relevant legal conditions are met. </w:t>
      </w:r>
    </w:p>
    <w:p w14:paraId="0A17BE4C" w14:textId="77777777" w:rsidR="00BD75A2" w:rsidRPr="00BE6E1C" w:rsidRDefault="00BD75A2" w:rsidP="00BD75A2">
      <w:pPr>
        <w:rPr>
          <w:rFonts w:ascii="Times New Roman" w:hAnsi="Times New Roman"/>
          <w:b/>
          <w:i/>
          <w:sz w:val="24"/>
          <w:szCs w:val="24"/>
        </w:rPr>
      </w:pPr>
      <w:r w:rsidRPr="00BE6E1C">
        <w:rPr>
          <w:rFonts w:ascii="Times New Roman" w:hAnsi="Times New Roman"/>
          <w:b/>
          <w:i/>
          <w:sz w:val="24"/>
          <w:szCs w:val="24"/>
        </w:rPr>
        <w:t>Additional efforts to accelerate the process</w:t>
      </w:r>
    </w:p>
    <w:p w14:paraId="4BEC18C7" w14:textId="77777777" w:rsidR="00BD75A2" w:rsidRPr="00BE6E1C" w:rsidRDefault="00BD75A2" w:rsidP="00BD75A2">
      <w:pPr>
        <w:rPr>
          <w:rFonts w:ascii="Times New Roman" w:hAnsi="Times New Roman"/>
          <w:sz w:val="24"/>
          <w:szCs w:val="24"/>
        </w:rPr>
      </w:pPr>
      <w:r w:rsidRPr="00BE6E1C">
        <w:rPr>
          <w:rFonts w:ascii="Times New Roman" w:hAnsi="Times New Roman"/>
          <w:sz w:val="24"/>
          <w:szCs w:val="24"/>
        </w:rPr>
        <w:t>The Commission will immediately use the available margins to further accelerate the adoption of provisional measures. For instance, while the current practice is to consult Member States in the Committee before adopting provisional measures, there is scope for increased use of written consultations. In case of extreme urgency, provisional measures can also be imposed after informing the Member States. The Commission will further optimise its internal procedures, follow a stricter approach when dealing with requests for deadline extensions of questionnaire responses and where feasible streamline hearings by grouping them together. This would allow speeding up the overall procedure by at least one month.</w:t>
      </w:r>
    </w:p>
    <w:p w14:paraId="3B7F5E1A" w14:textId="77777777" w:rsidR="00BD75A2" w:rsidRPr="00BE6E1C" w:rsidRDefault="00BD75A2" w:rsidP="00BD75A2">
      <w:pPr>
        <w:rPr>
          <w:rFonts w:ascii="Times New Roman" w:hAnsi="Times New Roman"/>
          <w:b/>
          <w:i/>
          <w:sz w:val="24"/>
          <w:szCs w:val="24"/>
        </w:rPr>
      </w:pPr>
      <w:r w:rsidRPr="00BE6E1C">
        <w:rPr>
          <w:rFonts w:ascii="Times New Roman" w:hAnsi="Times New Roman"/>
          <w:b/>
          <w:i/>
          <w:sz w:val="24"/>
          <w:szCs w:val="24"/>
        </w:rPr>
        <w:t>Modernisation of Trade Defence Instruments</w:t>
      </w:r>
    </w:p>
    <w:p w14:paraId="04D11D9C" w14:textId="3B43593D" w:rsidR="00E11B6C" w:rsidRPr="00BE6E1C" w:rsidRDefault="00BD75A2" w:rsidP="00DE5CE6">
      <w:pPr>
        <w:pStyle w:val="ListParagraph"/>
        <w:numPr>
          <w:ilvl w:val="0"/>
          <w:numId w:val="42"/>
        </w:numPr>
        <w:rPr>
          <w:rFonts w:ascii="Times New Roman" w:hAnsi="Times New Roman"/>
          <w:sz w:val="24"/>
          <w:szCs w:val="24"/>
        </w:rPr>
      </w:pPr>
      <w:r w:rsidRPr="00053961">
        <w:rPr>
          <w:rFonts w:ascii="Times New Roman" w:hAnsi="Times New Roman"/>
          <w:sz w:val="24"/>
          <w:szCs w:val="24"/>
        </w:rPr>
        <w:t xml:space="preserve">To further improve the efficiency and effectiveness of EU action, our trade defence instruments need to be modernised. </w:t>
      </w:r>
      <w:r w:rsidR="00753822">
        <w:rPr>
          <w:rFonts w:ascii="Times New Roman" w:hAnsi="Times New Roman"/>
          <w:sz w:val="24"/>
          <w:szCs w:val="24"/>
        </w:rPr>
        <w:t>Three years ago, t</w:t>
      </w:r>
      <w:r w:rsidRPr="00053961">
        <w:rPr>
          <w:rFonts w:ascii="Times New Roman" w:hAnsi="Times New Roman"/>
          <w:sz w:val="24"/>
          <w:szCs w:val="24"/>
        </w:rPr>
        <w:t>he Commission already put forward a comprehensive package to that effect</w:t>
      </w:r>
      <w:r w:rsidRPr="00BE6E1C">
        <w:rPr>
          <w:rStyle w:val="FootnoteReference"/>
          <w:rFonts w:ascii="Times New Roman" w:hAnsi="Times New Roman"/>
          <w:sz w:val="24"/>
          <w:szCs w:val="24"/>
        </w:rPr>
        <w:footnoteReference w:id="6"/>
      </w:r>
      <w:r w:rsidRPr="00053961">
        <w:rPr>
          <w:rFonts w:ascii="Times New Roman" w:hAnsi="Times New Roman"/>
          <w:sz w:val="24"/>
          <w:szCs w:val="24"/>
        </w:rPr>
        <w:t xml:space="preserve">. The European Parliament adopted its report in first reading. However, Member States have so far prevented this file from moving forward in the Council. It is now high time to </w:t>
      </w:r>
      <w:r w:rsidR="00753822" w:rsidRPr="00753822">
        <w:rPr>
          <w:rFonts w:ascii="Times New Roman" w:hAnsi="Times New Roman"/>
          <w:sz w:val="24"/>
          <w:szCs w:val="24"/>
        </w:rPr>
        <w:t xml:space="preserve">back-up rhetoric with action and </w:t>
      </w:r>
      <w:r w:rsidRPr="00053961">
        <w:rPr>
          <w:rFonts w:ascii="Times New Roman" w:hAnsi="Times New Roman"/>
          <w:sz w:val="24"/>
          <w:szCs w:val="24"/>
        </w:rPr>
        <w:t xml:space="preserve">adopt </w:t>
      </w:r>
      <w:r w:rsidR="00753822">
        <w:rPr>
          <w:rFonts w:ascii="Times New Roman" w:hAnsi="Times New Roman"/>
          <w:sz w:val="24"/>
          <w:szCs w:val="24"/>
        </w:rPr>
        <w:t>swiftly</w:t>
      </w:r>
      <w:r w:rsidR="00753822" w:rsidRPr="000166B5">
        <w:rPr>
          <w:rFonts w:ascii="Times New Roman" w:hAnsi="Times New Roman"/>
          <w:sz w:val="24"/>
          <w:szCs w:val="24"/>
        </w:rPr>
        <w:t xml:space="preserve"> </w:t>
      </w:r>
      <w:r w:rsidRPr="00053961">
        <w:rPr>
          <w:rFonts w:ascii="Times New Roman" w:hAnsi="Times New Roman"/>
          <w:sz w:val="24"/>
          <w:szCs w:val="24"/>
        </w:rPr>
        <w:t xml:space="preserve">the modernisation package. </w:t>
      </w:r>
    </w:p>
    <w:p w14:paraId="2F0DCC35" w14:textId="77777777" w:rsidR="00E11B6C" w:rsidRPr="00BE6E1C" w:rsidRDefault="00BD75A2" w:rsidP="00DE5CE6">
      <w:pPr>
        <w:pStyle w:val="ListParagraph"/>
        <w:numPr>
          <w:ilvl w:val="0"/>
          <w:numId w:val="42"/>
        </w:numPr>
        <w:rPr>
          <w:rFonts w:ascii="Times New Roman" w:hAnsi="Times New Roman"/>
          <w:sz w:val="24"/>
          <w:szCs w:val="24"/>
        </w:rPr>
      </w:pPr>
      <w:r w:rsidRPr="00053961">
        <w:rPr>
          <w:rFonts w:ascii="Times New Roman" w:hAnsi="Times New Roman"/>
          <w:sz w:val="24"/>
          <w:szCs w:val="24"/>
        </w:rPr>
        <w:t xml:space="preserve">The recent experience furthermore shows that additional reforms need to be considered, taking into account the inter-institutional debate and most recent developments: for example, the rationale for the removal of the lesser-duty rule should apply also to the steel sector and more generally to situations where the market of the exporting country is subject to significant distortions. In addition, it may be appropriate with regard to the calculation of the injury margin to better define the target profit to ensure that injury is adequately removed. </w:t>
      </w:r>
    </w:p>
    <w:p w14:paraId="3F5FC6E0" w14:textId="00A1BA8B" w:rsidR="00E11B6C" w:rsidRPr="00BE6E1C" w:rsidRDefault="00BD75A2" w:rsidP="00DE5CE6">
      <w:pPr>
        <w:pStyle w:val="ListParagraph"/>
        <w:numPr>
          <w:ilvl w:val="0"/>
          <w:numId w:val="42"/>
        </w:numPr>
        <w:rPr>
          <w:rFonts w:ascii="Times New Roman" w:hAnsi="Times New Roman"/>
          <w:sz w:val="24"/>
          <w:szCs w:val="24"/>
        </w:rPr>
      </w:pPr>
      <w:r w:rsidRPr="00053961">
        <w:rPr>
          <w:rFonts w:ascii="Times New Roman" w:hAnsi="Times New Roman"/>
          <w:sz w:val="24"/>
          <w:szCs w:val="24"/>
        </w:rPr>
        <w:t>Additional steps, which require a change in the Basic Regulations, can and should be taken</w:t>
      </w:r>
      <w:r w:rsidR="00F038E8">
        <w:rPr>
          <w:rStyle w:val="FootnoteReference"/>
          <w:rFonts w:ascii="Times New Roman" w:hAnsi="Times New Roman"/>
          <w:sz w:val="24"/>
          <w:szCs w:val="24"/>
        </w:rPr>
        <w:footnoteReference w:id="7"/>
      </w:r>
      <w:r w:rsidRPr="00053961">
        <w:rPr>
          <w:rFonts w:ascii="Times New Roman" w:hAnsi="Times New Roman"/>
          <w:sz w:val="24"/>
          <w:szCs w:val="24"/>
        </w:rPr>
        <w:t xml:space="preserve">. For instance, intermediary deadlines such as those for sampling of interested parties or parties’ reaction to the disclosure of the essential facts and considerations should be adjusted. Moreover, the consultation process of Member States should be </w:t>
      </w:r>
      <w:r w:rsidRPr="00053961">
        <w:rPr>
          <w:rFonts w:ascii="Times New Roman" w:hAnsi="Times New Roman"/>
          <w:sz w:val="24"/>
          <w:szCs w:val="24"/>
        </w:rPr>
        <w:lastRenderedPageBreak/>
        <w:t>significantly streamlined. This would allow speeding up the overall procedure by up to two months</w:t>
      </w:r>
      <w:r w:rsidRPr="00BE6E1C">
        <w:rPr>
          <w:rStyle w:val="FootnoteReference"/>
          <w:rFonts w:ascii="Times New Roman" w:hAnsi="Times New Roman"/>
          <w:sz w:val="24"/>
          <w:szCs w:val="24"/>
        </w:rPr>
        <w:footnoteReference w:id="8"/>
      </w:r>
      <w:r w:rsidRPr="00053961">
        <w:rPr>
          <w:rFonts w:ascii="Times New Roman" w:hAnsi="Times New Roman"/>
          <w:sz w:val="24"/>
          <w:szCs w:val="24"/>
        </w:rPr>
        <w:t>.</w:t>
      </w:r>
    </w:p>
    <w:p w14:paraId="585D4D00" w14:textId="0E5FD9BC" w:rsidR="00E11B6C" w:rsidRPr="00BE6E1C" w:rsidRDefault="00BD75A2" w:rsidP="00DE5CE6">
      <w:pPr>
        <w:pStyle w:val="ListParagraph"/>
        <w:numPr>
          <w:ilvl w:val="0"/>
          <w:numId w:val="42"/>
        </w:numPr>
        <w:rPr>
          <w:rFonts w:ascii="Times New Roman" w:hAnsi="Times New Roman"/>
          <w:sz w:val="24"/>
          <w:szCs w:val="24"/>
        </w:rPr>
      </w:pPr>
      <w:r w:rsidRPr="00053961">
        <w:rPr>
          <w:rFonts w:ascii="Times New Roman" w:hAnsi="Times New Roman"/>
          <w:sz w:val="24"/>
          <w:szCs w:val="24"/>
        </w:rPr>
        <w:t>The Commission calls on the co-legislators to work with it as a matter of urgency and it stands ready to propose swiftly the additional reform proposals mentioned above.</w:t>
      </w:r>
      <w:r w:rsidR="00E11B6C" w:rsidRPr="00E11B6C">
        <w:rPr>
          <w:rFonts w:ascii="Times New Roman" w:hAnsi="Times New Roman"/>
          <w:sz w:val="24"/>
          <w:szCs w:val="24"/>
        </w:rPr>
        <w:t xml:space="preserve"> </w:t>
      </w:r>
    </w:p>
    <w:p w14:paraId="70190232" w14:textId="77777777" w:rsidR="00BD75A2" w:rsidRPr="00BE6E1C" w:rsidRDefault="00BD75A2" w:rsidP="00BD75A2">
      <w:pPr>
        <w:rPr>
          <w:rFonts w:ascii="Times New Roman" w:hAnsi="Times New Roman"/>
          <w:sz w:val="24"/>
          <w:szCs w:val="24"/>
        </w:rPr>
      </w:pPr>
      <w:r w:rsidRPr="00BE6E1C">
        <w:rPr>
          <w:rFonts w:ascii="Times New Roman" w:hAnsi="Times New Roman"/>
          <w:sz w:val="24"/>
          <w:szCs w:val="24"/>
        </w:rPr>
        <w:t xml:space="preserve">In addition, given the current context and the importance of the issue at stake, the Commission </w:t>
      </w:r>
      <w:r w:rsidRPr="00C950DC">
        <w:rPr>
          <w:rFonts w:ascii="Times New Roman" w:hAnsi="Times New Roman"/>
          <w:sz w:val="24"/>
          <w:szCs w:val="24"/>
        </w:rPr>
        <w:t>will</w:t>
      </w:r>
      <w:r w:rsidRPr="00CE787A">
        <w:rPr>
          <w:rFonts w:ascii="Times New Roman" w:hAnsi="Times New Roman"/>
          <w:sz w:val="24"/>
          <w:szCs w:val="24"/>
        </w:rPr>
        <w:t xml:space="preserve"> propose a prior surveillance system on steel products. Prior s</w:t>
      </w:r>
      <w:r w:rsidRPr="00BE6E1C">
        <w:rPr>
          <w:rFonts w:ascii="Times New Roman" w:hAnsi="Times New Roman"/>
          <w:sz w:val="24"/>
          <w:szCs w:val="24"/>
        </w:rPr>
        <w:t>urveillance measures are foreseen in the EU's safeguard instrument and are based on an automatic import licensing system. They can be introduced when import trends threaten to cause injury to Union producers.</w:t>
      </w:r>
    </w:p>
    <w:p w14:paraId="0A762497" w14:textId="77777777" w:rsidR="00BD75A2" w:rsidRPr="00BE6E1C" w:rsidRDefault="00BD75A2" w:rsidP="00BD75A2">
      <w:pPr>
        <w:rPr>
          <w:rFonts w:ascii="Times New Roman" w:hAnsi="Times New Roman"/>
          <w:sz w:val="24"/>
          <w:szCs w:val="24"/>
        </w:rPr>
      </w:pPr>
      <w:r w:rsidRPr="00BE6E1C">
        <w:rPr>
          <w:rFonts w:ascii="Times New Roman" w:hAnsi="Times New Roman"/>
          <w:sz w:val="24"/>
          <w:szCs w:val="24"/>
        </w:rPr>
        <w:t>Finally, stakeholders can provide their input on some of the elements of the EU's trade defence system as part of an ongoing public consultation: in the light of the upcoming expiry of certain provisions in China's Protocol of Accession to the WTO, the Commission is analysing whether, and if so how, the EU should change the treatment of China in anti-dumping investigations after December 2016. Before taking a view on this matter, the Commission is conducting an in-depth impact assessment and is consulting stakeholders. The impact assessment will carefully analyse the potential economic and social effects of any change in the treatment of China, with a particular focus on jobs and taking into account differences across Member States. The public consultation launched in February 2016 aims at collecting stakeholders' input regarding the options identified by the Commission. For the Commission, it is clear that no decision can be taken in this context without significant transitional periods and substantial attenuating measures.</w:t>
      </w:r>
    </w:p>
    <w:p w14:paraId="71666209" w14:textId="77777777" w:rsidR="00BD75A2" w:rsidRPr="00BE6E1C" w:rsidRDefault="00BD75A2" w:rsidP="00BD75A2">
      <w:pPr>
        <w:rPr>
          <w:rFonts w:ascii="Times New Roman" w:hAnsi="Times New Roman"/>
          <w:b/>
          <w:i/>
          <w:sz w:val="24"/>
          <w:szCs w:val="24"/>
        </w:rPr>
      </w:pPr>
      <w:r w:rsidRPr="00BE6E1C">
        <w:rPr>
          <w:rFonts w:ascii="Times New Roman" w:hAnsi="Times New Roman"/>
          <w:b/>
          <w:i/>
          <w:sz w:val="24"/>
          <w:szCs w:val="24"/>
        </w:rPr>
        <w:t>Tackling the causes of global overcapacity</w:t>
      </w:r>
    </w:p>
    <w:p w14:paraId="7FCBE169" w14:textId="77777777" w:rsidR="00BD75A2" w:rsidRPr="00BE6E1C" w:rsidRDefault="00BD75A2" w:rsidP="00BD75A2">
      <w:pPr>
        <w:rPr>
          <w:rFonts w:ascii="Times New Roman" w:hAnsi="Times New Roman"/>
          <w:b/>
          <w:sz w:val="24"/>
          <w:szCs w:val="24"/>
        </w:rPr>
      </w:pPr>
      <w:r w:rsidRPr="00BE6E1C">
        <w:rPr>
          <w:rFonts w:ascii="Times New Roman" w:hAnsi="Times New Roman"/>
          <w:b/>
          <w:sz w:val="24"/>
          <w:szCs w:val="24"/>
        </w:rPr>
        <w:t xml:space="preserve">In addition to measures aiming to mitigate the effects of global overcapacities, the Commission is tackling the underlying causes of the problem with our main partners. A global problem requires a global solution. </w:t>
      </w:r>
    </w:p>
    <w:p w14:paraId="4B9379CC" w14:textId="77777777" w:rsidR="00BD75A2" w:rsidRPr="00BE6E1C" w:rsidRDefault="00BD75A2" w:rsidP="00BD75A2">
      <w:pPr>
        <w:rPr>
          <w:rFonts w:ascii="Times New Roman" w:hAnsi="Times New Roman"/>
          <w:sz w:val="24"/>
          <w:szCs w:val="24"/>
        </w:rPr>
      </w:pPr>
      <w:r w:rsidRPr="00BE6E1C">
        <w:rPr>
          <w:rFonts w:ascii="Times New Roman" w:hAnsi="Times New Roman"/>
          <w:sz w:val="24"/>
          <w:szCs w:val="24"/>
        </w:rPr>
        <w:t>In order to restore the global level playing field, the Commission is working with the main partners across the various fora:</w:t>
      </w:r>
    </w:p>
    <w:p w14:paraId="2E336C8E" w14:textId="77777777" w:rsidR="00E11B6C" w:rsidRPr="00BE6E1C" w:rsidRDefault="00BD75A2" w:rsidP="00E11B6C">
      <w:pPr>
        <w:pStyle w:val="ListParagraph"/>
        <w:numPr>
          <w:ilvl w:val="0"/>
          <w:numId w:val="42"/>
        </w:numPr>
        <w:rPr>
          <w:rFonts w:ascii="Times New Roman" w:hAnsi="Times New Roman"/>
          <w:sz w:val="24"/>
          <w:szCs w:val="24"/>
        </w:rPr>
      </w:pPr>
      <w:r w:rsidRPr="00E11B6C">
        <w:rPr>
          <w:rFonts w:ascii="Times New Roman" w:hAnsi="Times New Roman"/>
          <w:sz w:val="24"/>
          <w:szCs w:val="24"/>
        </w:rPr>
        <w:t xml:space="preserve">At bilateral level, the Commission has set up Steel Contact Group meetings with China, Japan, India, Russia, Turkey and the United States. Steel Contact Group meetings with Japan and China took place on 8 and 10 March 2016. On those occasions, the Commission specifically addressed the matters concerning overcapacity. The Commission will intensify and multiply its meetings with some of our main steel trade partners, notably China. </w:t>
      </w:r>
    </w:p>
    <w:p w14:paraId="05D85A0F" w14:textId="77777777" w:rsidR="00E11B6C" w:rsidRPr="00BE6E1C" w:rsidRDefault="00BD75A2" w:rsidP="00DE5CE6">
      <w:pPr>
        <w:pStyle w:val="ListParagraph"/>
        <w:numPr>
          <w:ilvl w:val="0"/>
          <w:numId w:val="42"/>
        </w:numPr>
        <w:rPr>
          <w:rFonts w:ascii="Times New Roman" w:hAnsi="Times New Roman"/>
          <w:sz w:val="24"/>
          <w:szCs w:val="24"/>
        </w:rPr>
      </w:pPr>
      <w:r w:rsidRPr="00E11B6C">
        <w:rPr>
          <w:rFonts w:ascii="Times New Roman" w:hAnsi="Times New Roman"/>
          <w:sz w:val="24"/>
          <w:szCs w:val="24"/>
        </w:rPr>
        <w:t xml:space="preserve">At multilateral level, the Commission plays an active role in the OECD Steel Committee. Following concerns expressed by the EU and like-minded countries at the </w:t>
      </w:r>
      <w:r w:rsidRPr="00E11B6C">
        <w:rPr>
          <w:rFonts w:ascii="Times New Roman" w:hAnsi="Times New Roman"/>
          <w:sz w:val="24"/>
          <w:szCs w:val="24"/>
        </w:rPr>
        <w:lastRenderedPageBreak/>
        <w:t xml:space="preserve">last meeting regarding excess capacity, notably in China, the Committee will organise a high-level symposium addressing the challenge of reducing overcapacity through structural adjustment. </w:t>
      </w:r>
    </w:p>
    <w:p w14:paraId="58039617" w14:textId="77777777" w:rsidR="00E11B6C" w:rsidRPr="00BE6E1C" w:rsidRDefault="00BD75A2" w:rsidP="00E11B6C">
      <w:pPr>
        <w:pStyle w:val="ListParagraph"/>
        <w:numPr>
          <w:ilvl w:val="0"/>
          <w:numId w:val="42"/>
        </w:numPr>
        <w:rPr>
          <w:rFonts w:ascii="Times New Roman" w:hAnsi="Times New Roman"/>
          <w:sz w:val="24"/>
          <w:szCs w:val="24"/>
        </w:rPr>
      </w:pPr>
      <w:r w:rsidRPr="00E11B6C">
        <w:rPr>
          <w:rFonts w:ascii="Times New Roman" w:hAnsi="Times New Roman"/>
          <w:sz w:val="24"/>
          <w:szCs w:val="24"/>
        </w:rPr>
        <w:t xml:space="preserve">In the WTO, the EU will remind China of the need to enforce its WTO obligations on transparency and the notification of subsidies. It will actively raise this issue at the WTO peer-Trade Policy Review of China in June 2016. The Commission is studying subsidy schemes in China, including for the steel sector. It will use any relevant means available and raise the issue within the G20 with the aim of addressing overcapacity. </w:t>
      </w:r>
    </w:p>
    <w:p w14:paraId="1CA1C361" w14:textId="77777777" w:rsidR="00E11B6C" w:rsidRPr="00BE6E1C" w:rsidRDefault="00BD75A2" w:rsidP="00DE5CE6">
      <w:pPr>
        <w:pStyle w:val="ListParagraph"/>
        <w:numPr>
          <w:ilvl w:val="0"/>
          <w:numId w:val="42"/>
        </w:numPr>
        <w:rPr>
          <w:rFonts w:ascii="Times New Roman" w:hAnsi="Times New Roman"/>
          <w:sz w:val="24"/>
          <w:szCs w:val="24"/>
        </w:rPr>
      </w:pPr>
      <w:r w:rsidRPr="00E11B6C">
        <w:rPr>
          <w:rFonts w:ascii="Times New Roman" w:hAnsi="Times New Roman"/>
          <w:sz w:val="24"/>
          <w:szCs w:val="24"/>
        </w:rPr>
        <w:t xml:space="preserve">The Commission encourages third countries to apply the appropriate policy measures which respect the current needs of the market. The Commission is negotiating rules on the behaviour of state-owned enterprises and subsidies under Free Trade Agreements, following closely the subsidy notifications in the WTO. In this context, the Commission is also pursuing discipline on subsidies and State-Owned Enterprises in its negotiations of the Investment Agreement with China. The intention to negotiate a chapter on energy and raw materials in each trade agreement is of particular interest for the steel and other energy-intensive industries. </w:t>
      </w:r>
    </w:p>
    <w:p w14:paraId="6E851134" w14:textId="77777777" w:rsidR="00BD75A2" w:rsidRPr="00BE6E1C" w:rsidRDefault="00BD75A2" w:rsidP="00BD75A2">
      <w:pPr>
        <w:pStyle w:val="Heading1"/>
        <w:numPr>
          <w:ilvl w:val="0"/>
          <w:numId w:val="36"/>
        </w:numPr>
        <w:rPr>
          <w:rFonts w:ascii="Times New Roman" w:hAnsi="Times New Roman" w:cs="Times New Roman"/>
          <w:smallCaps/>
        </w:rPr>
      </w:pPr>
      <w:r w:rsidRPr="00BE6E1C">
        <w:rPr>
          <w:rFonts w:ascii="Times New Roman" w:hAnsi="Times New Roman" w:cs="Times New Roman"/>
          <w:smallCaps/>
        </w:rPr>
        <w:t xml:space="preserve">Investing </w:t>
      </w:r>
      <w:r w:rsidRPr="00C950DC">
        <w:rPr>
          <w:rFonts w:ascii="Times New Roman" w:hAnsi="Times New Roman" w:cs="Times New Roman"/>
          <w:smallCaps/>
        </w:rPr>
        <w:t xml:space="preserve">today in a modernised and sustainable </w:t>
      </w:r>
      <w:r w:rsidRPr="00CE787A">
        <w:rPr>
          <w:rFonts w:ascii="Times New Roman" w:hAnsi="Times New Roman" w:cs="Times New Roman"/>
          <w:smallCaps/>
        </w:rPr>
        <w:t>steel industry</w:t>
      </w:r>
    </w:p>
    <w:p w14:paraId="01F1F5C6" w14:textId="77777777" w:rsidR="00BD75A2" w:rsidRPr="00BE6E1C" w:rsidRDefault="00BD75A2" w:rsidP="00BD75A2">
      <w:pPr>
        <w:rPr>
          <w:rFonts w:ascii="Times New Roman" w:hAnsi="Times New Roman"/>
          <w:b/>
          <w:i/>
          <w:sz w:val="24"/>
          <w:szCs w:val="24"/>
        </w:rPr>
      </w:pPr>
      <w:r w:rsidRPr="00BE6E1C">
        <w:rPr>
          <w:rFonts w:ascii="Times New Roman" w:hAnsi="Times New Roman"/>
          <w:b/>
          <w:i/>
          <w:sz w:val="24"/>
          <w:szCs w:val="24"/>
        </w:rPr>
        <w:t>Investments in future solutions and technologies for a more competitive industry</w:t>
      </w:r>
    </w:p>
    <w:p w14:paraId="3A6E6666" w14:textId="77777777" w:rsidR="00BD75A2" w:rsidRPr="00BE6E1C" w:rsidRDefault="00BD75A2" w:rsidP="00BD75A2">
      <w:pPr>
        <w:rPr>
          <w:rFonts w:ascii="Times New Roman" w:hAnsi="Times New Roman"/>
          <w:b/>
          <w:sz w:val="24"/>
          <w:szCs w:val="24"/>
        </w:rPr>
      </w:pPr>
      <w:r w:rsidRPr="00BE6E1C">
        <w:rPr>
          <w:rFonts w:ascii="Times New Roman" w:hAnsi="Times New Roman"/>
          <w:b/>
          <w:sz w:val="24"/>
          <w:szCs w:val="24"/>
        </w:rPr>
        <w:t xml:space="preserve">The steel sector faces longer-term challenges which require continued investment in breakthrough technologies. Several EU funds actively support the steel industry on its modernisation path by facilitating investment and helping the development and deployment of innovation. These possibilities should be used to the fullest extent. </w:t>
      </w:r>
    </w:p>
    <w:p w14:paraId="385B3D1C" w14:textId="77777777" w:rsidR="00BD75A2" w:rsidRPr="00BE6E1C" w:rsidRDefault="00BD75A2" w:rsidP="00BD75A2">
      <w:pPr>
        <w:rPr>
          <w:rFonts w:ascii="Times New Roman" w:hAnsi="Times New Roman"/>
          <w:sz w:val="24"/>
          <w:szCs w:val="24"/>
        </w:rPr>
      </w:pPr>
      <w:r w:rsidRPr="00BE6E1C">
        <w:rPr>
          <w:rFonts w:ascii="Times New Roman" w:hAnsi="Times New Roman"/>
          <w:sz w:val="24"/>
          <w:szCs w:val="24"/>
        </w:rPr>
        <w:t>The Commission is working to ensure that existing funding possibilities effectively support the industry in its modernisation efforts:</w:t>
      </w:r>
    </w:p>
    <w:p w14:paraId="1F4434CA" w14:textId="77777777" w:rsidR="00BD75A2" w:rsidRPr="00753822" w:rsidRDefault="00BD75A2" w:rsidP="00DE5CE6">
      <w:pPr>
        <w:pStyle w:val="ListParagraph"/>
        <w:numPr>
          <w:ilvl w:val="0"/>
          <w:numId w:val="49"/>
        </w:numPr>
        <w:rPr>
          <w:rFonts w:ascii="Times New Roman" w:hAnsi="Times New Roman"/>
          <w:sz w:val="24"/>
          <w:szCs w:val="24"/>
        </w:rPr>
      </w:pPr>
      <w:r w:rsidRPr="00753822">
        <w:rPr>
          <w:rFonts w:ascii="Times New Roman" w:hAnsi="Times New Roman"/>
          <w:sz w:val="24"/>
          <w:szCs w:val="24"/>
        </w:rPr>
        <w:t>The European Fund for Strategic Investments (EFSI)</w:t>
      </w:r>
      <w:r w:rsidRPr="00053961">
        <w:rPr>
          <w:vertAlign w:val="superscript"/>
        </w:rPr>
        <w:footnoteReference w:id="9"/>
      </w:r>
      <w:r w:rsidRPr="00753822">
        <w:rPr>
          <w:rFonts w:ascii="Times New Roman" w:hAnsi="Times New Roman"/>
          <w:sz w:val="24"/>
          <w:szCs w:val="24"/>
        </w:rPr>
        <w:t xml:space="preserve"> helps bringing innovation also to the steel sector, by covering higher financing risks of innovative projects. EFSI provides flexible support to concrete projects by addressing market failures or sub-optimal investment situations. Project promoters also obtain assistance in the investment process by the European Investment Advisory Hub, so that the quality of projects can be enhanced and attract financing. In addition, business projects can boost their visibility for investors on a European Investment Project Portal. A first EIB loan under EFSI of EUR 100 million is already helping a mid-sized Italian steel producer attract other investors. The total investment expected to be mobilised amounts to EUR 227 million, enabling the company to modernise and optimise its products, processes </w:t>
      </w:r>
      <w:r w:rsidRPr="00753822">
        <w:rPr>
          <w:rFonts w:ascii="Times New Roman" w:hAnsi="Times New Roman"/>
          <w:sz w:val="24"/>
          <w:szCs w:val="24"/>
        </w:rPr>
        <w:lastRenderedPageBreak/>
        <w:t xml:space="preserve">and environmental performance, and to remain a leader in its field. Other industrial players have already initiated contacts with the Advisory Hub. Others can benefit today of the opportunities provided by these new instruments. </w:t>
      </w:r>
    </w:p>
    <w:p w14:paraId="16A9E627" w14:textId="77777777" w:rsidR="00BD75A2" w:rsidRPr="00753822" w:rsidRDefault="00BD75A2" w:rsidP="00DE5CE6">
      <w:pPr>
        <w:pStyle w:val="ListParagraph"/>
        <w:numPr>
          <w:ilvl w:val="0"/>
          <w:numId w:val="49"/>
        </w:numPr>
        <w:rPr>
          <w:rFonts w:ascii="Times New Roman" w:hAnsi="Times New Roman"/>
          <w:sz w:val="24"/>
          <w:szCs w:val="24"/>
        </w:rPr>
      </w:pPr>
      <w:r w:rsidRPr="00753822">
        <w:rPr>
          <w:rFonts w:ascii="Times New Roman" w:hAnsi="Times New Roman"/>
          <w:sz w:val="24"/>
          <w:szCs w:val="24"/>
        </w:rPr>
        <w:t xml:space="preserve">EFSI opportunities are complementary to other EU funds like Horizon 2020 and Structural Funds and can and should be optimally combined. From the European Structural and Investment Funds (ESIF) EUR 44 billion will be allocated to priorities set in the research and innovation strategies for smart specialisation. Regions in Czech Republic, Slovakia, Spain, Finland and Sweden included support to modernising their steel industry in their priorities. The cooperation between regions with steel-related priorities offers an opportunity for exchange of experiences with policies and new technologies. The Integrated Strategic Energy Technology Plan, launched by the Commission in October 2015, is helping focussing existing Research and Innovation support as well as policy action in the area of energy efficiency, e.g. by a more sophisticated use of financial support and regulatory measures. </w:t>
      </w:r>
    </w:p>
    <w:p w14:paraId="0EEF2590" w14:textId="77777777" w:rsidR="00BD75A2" w:rsidRPr="00753822" w:rsidRDefault="00BD75A2" w:rsidP="00DE5CE6">
      <w:pPr>
        <w:pStyle w:val="ListParagraph"/>
        <w:numPr>
          <w:ilvl w:val="0"/>
          <w:numId w:val="49"/>
        </w:numPr>
        <w:rPr>
          <w:rFonts w:ascii="Times New Roman" w:hAnsi="Times New Roman"/>
          <w:sz w:val="24"/>
          <w:szCs w:val="24"/>
        </w:rPr>
      </w:pPr>
      <w:r w:rsidRPr="00753822">
        <w:rPr>
          <w:rFonts w:ascii="Times New Roman" w:hAnsi="Times New Roman"/>
          <w:sz w:val="24"/>
          <w:szCs w:val="24"/>
        </w:rPr>
        <w:t>Horizon 2020 and the ESIF are helping the steel industry, together with research institutes and other stakeholders, to develop enabling technologies in resource and energy efficiency along the value chain. Modernisation in the steel sector is also supported by the Research Fund for Coal and Steel with over EUR 50 million every year. The ultra-low carbon dioxide steelmaking project (ULCOS) and its follow up projects, as well as projects funded within the SPIRE</w:t>
      </w:r>
      <w:r w:rsidRPr="00DE5CE6">
        <w:rPr>
          <w:vertAlign w:val="superscript"/>
        </w:rPr>
        <w:footnoteReference w:id="10"/>
      </w:r>
      <w:r w:rsidRPr="00753822">
        <w:rPr>
          <w:rFonts w:ascii="Times New Roman" w:hAnsi="Times New Roman"/>
          <w:sz w:val="24"/>
          <w:szCs w:val="24"/>
        </w:rPr>
        <w:t xml:space="preserve"> Public-Private Partnership are good examples in this respect. </w:t>
      </w:r>
    </w:p>
    <w:p w14:paraId="7D4F528A" w14:textId="35F11D1C" w:rsidR="00F038E8" w:rsidRPr="00DE5CE6" w:rsidRDefault="00BD75A2" w:rsidP="00DE5CE6">
      <w:pPr>
        <w:pStyle w:val="ListParagraph"/>
        <w:numPr>
          <w:ilvl w:val="0"/>
          <w:numId w:val="49"/>
        </w:numPr>
      </w:pPr>
      <w:r w:rsidRPr="00753822">
        <w:rPr>
          <w:rFonts w:ascii="Times New Roman" w:hAnsi="Times New Roman"/>
          <w:sz w:val="24"/>
          <w:szCs w:val="24"/>
        </w:rPr>
        <w:t xml:space="preserve">Through </w:t>
      </w:r>
      <w:r w:rsidRPr="00753822">
        <w:rPr>
          <w:rFonts w:ascii="Times New Roman" w:hAnsi="Times New Roman"/>
          <w:noProof/>
          <w:sz w:val="24"/>
          <w:szCs w:val="24"/>
          <w:lang w:eastAsia="de-DE"/>
        </w:rPr>
        <w:t>the European Innovation Partnership on Raw Materials, the industry</w:t>
      </w:r>
      <w:r w:rsidRPr="00753822">
        <w:rPr>
          <w:rFonts w:ascii="Times New Roman" w:hAnsi="Times New Roman"/>
          <w:sz w:val="24"/>
          <w:szCs w:val="24"/>
        </w:rPr>
        <w:t xml:space="preserve"> </w:t>
      </w:r>
      <w:r w:rsidRPr="00753822">
        <w:rPr>
          <w:rFonts w:ascii="Times New Roman" w:hAnsi="Times New Roman"/>
          <w:noProof/>
          <w:sz w:val="24"/>
          <w:szCs w:val="24"/>
          <w:lang w:eastAsia="de-DE"/>
        </w:rPr>
        <w:t>cooperates with relevant actors at EU, national and regional levels</w:t>
      </w:r>
      <w:r w:rsidRPr="00DE5CE6">
        <w:rPr>
          <w:rFonts w:ascii="Times New Roman" w:hAnsi="Times New Roman"/>
          <w:sz w:val="24"/>
          <w:lang w:val="en"/>
        </w:rPr>
        <w:t xml:space="preserve"> </w:t>
      </w:r>
      <w:r w:rsidRPr="00753822">
        <w:rPr>
          <w:rFonts w:ascii="Times New Roman" w:hAnsi="Times New Roman"/>
          <w:noProof/>
          <w:sz w:val="24"/>
          <w:szCs w:val="24"/>
          <w:lang w:eastAsia="de-DE"/>
        </w:rPr>
        <w:t xml:space="preserve">to accelerate innovations that ensure secure, sustainable supplies of both primary and secondary raw materials. </w:t>
      </w:r>
    </w:p>
    <w:p w14:paraId="6D05395C" w14:textId="6D09ED37" w:rsidR="00F038E8" w:rsidRPr="00C950DC" w:rsidRDefault="00F038E8" w:rsidP="00F038E8">
      <w:pPr>
        <w:rPr>
          <w:rFonts w:ascii="Times New Roman" w:hAnsi="Times New Roman"/>
          <w:b/>
          <w:i/>
          <w:sz w:val="24"/>
          <w:szCs w:val="24"/>
        </w:rPr>
      </w:pPr>
      <w:r w:rsidRPr="00C950DC">
        <w:rPr>
          <w:rFonts w:ascii="Times New Roman" w:hAnsi="Times New Roman"/>
          <w:b/>
          <w:i/>
          <w:sz w:val="24"/>
          <w:szCs w:val="24"/>
        </w:rPr>
        <w:t xml:space="preserve">Investing in people </w:t>
      </w:r>
    </w:p>
    <w:p w14:paraId="7C767ED8" w14:textId="6C72C479" w:rsidR="00F038E8" w:rsidRPr="00BE6E1C" w:rsidRDefault="00F038E8" w:rsidP="00864C27">
      <w:pPr>
        <w:rPr>
          <w:rFonts w:ascii="Times New Roman" w:hAnsi="Times New Roman"/>
          <w:b/>
          <w:sz w:val="24"/>
          <w:szCs w:val="24"/>
        </w:rPr>
      </w:pPr>
      <w:r w:rsidRPr="00CE787A">
        <w:rPr>
          <w:rFonts w:ascii="Times New Roman" w:hAnsi="Times New Roman"/>
          <w:b/>
          <w:sz w:val="24"/>
          <w:szCs w:val="24"/>
        </w:rPr>
        <w:t>Modernising Europe's steel industry is about investing in people</w:t>
      </w:r>
      <w:r w:rsidRPr="00BE6E1C">
        <w:rPr>
          <w:rFonts w:ascii="Times New Roman" w:hAnsi="Times New Roman"/>
          <w:b/>
          <w:sz w:val="24"/>
          <w:szCs w:val="24"/>
        </w:rPr>
        <w:t xml:space="preserve"> and increasing employment opportunities. </w:t>
      </w:r>
    </w:p>
    <w:p w14:paraId="594D3208" w14:textId="77777777" w:rsidR="001C2D4A" w:rsidRDefault="001C2D4A" w:rsidP="001C2D4A">
      <w:pPr>
        <w:rPr>
          <w:rFonts w:ascii="Times New Roman" w:hAnsi="Times New Roman"/>
          <w:sz w:val="24"/>
          <w:szCs w:val="24"/>
        </w:rPr>
      </w:pPr>
      <w:r w:rsidRPr="00BE6E1C">
        <w:rPr>
          <w:rFonts w:ascii="Times New Roman" w:hAnsi="Times New Roman"/>
          <w:sz w:val="24"/>
          <w:szCs w:val="24"/>
        </w:rPr>
        <w:t>As a social market economy, Europe cannot – and does not want to – compete on the basis of low wages or deteriorating working conditions and social standards. Europe needs to compete on the basis of innovation, cutting-edge technology, premium quality and efficient production. All this requires people with excellent skills. Building, running and maintaining a modern and competitive steel industry is only possible with a trained workforce. Preserving industrial know-how and a skilled workforce, in particular as regards young employees, is an important asset of EU’s base metal industry. The need to invest in human resources will therefore be at the heart of the forthcoming New Skills Agenda, which will benefit a broad range of economic sectors, including the steel industry.</w:t>
      </w:r>
      <w:r w:rsidRPr="00BE6E1C">
        <w:rPr>
          <w:rFonts w:ascii="Times New Roman" w:hAnsi="Times New Roman"/>
          <w:sz w:val="24"/>
          <w:szCs w:val="24"/>
          <w:lang w:eastAsia="en-GB"/>
        </w:rPr>
        <w:t xml:space="preserve"> </w:t>
      </w:r>
      <w:r w:rsidRPr="00BE6E1C">
        <w:rPr>
          <w:rFonts w:ascii="Times New Roman" w:hAnsi="Times New Roman"/>
          <w:sz w:val="24"/>
          <w:szCs w:val="24"/>
        </w:rPr>
        <w:t xml:space="preserve"> </w:t>
      </w:r>
    </w:p>
    <w:p w14:paraId="6E8D563E" w14:textId="3E5F6519" w:rsidR="00F038E8" w:rsidRPr="00BE6E1C" w:rsidRDefault="00F038E8" w:rsidP="00F038E8">
      <w:pPr>
        <w:rPr>
          <w:rFonts w:ascii="Times New Roman" w:hAnsi="Times New Roman"/>
          <w:sz w:val="24"/>
          <w:szCs w:val="24"/>
        </w:rPr>
      </w:pPr>
      <w:r w:rsidRPr="00BE6E1C">
        <w:rPr>
          <w:rFonts w:ascii="Times New Roman" w:hAnsi="Times New Roman"/>
          <w:sz w:val="24"/>
          <w:szCs w:val="24"/>
        </w:rPr>
        <w:lastRenderedPageBreak/>
        <w:t xml:space="preserve">In some cases, structural changes may lead to job losses. This has serious social consequences for workers concerned, their families and the regions in which they live. The </w:t>
      </w:r>
      <w:r w:rsidRPr="00DE5CE6">
        <w:rPr>
          <w:rFonts w:ascii="Times New Roman" w:hAnsi="Times New Roman"/>
          <w:sz w:val="24"/>
        </w:rPr>
        <w:t>European Globalisation Adjustment Fund (EGF)</w:t>
      </w:r>
      <w:r w:rsidRPr="00C950DC">
        <w:rPr>
          <w:rFonts w:ascii="Times New Roman" w:hAnsi="Times New Roman"/>
          <w:sz w:val="24"/>
          <w:szCs w:val="24"/>
        </w:rPr>
        <w:t xml:space="preserve"> can co-fund up to 60% of the total cost of active labour market measures helping workers finding new jobs where major redund</w:t>
      </w:r>
      <w:r w:rsidRPr="00CE787A">
        <w:rPr>
          <w:rFonts w:ascii="Times New Roman" w:hAnsi="Times New Roman"/>
          <w:sz w:val="24"/>
          <w:szCs w:val="24"/>
        </w:rPr>
        <w:t>ancies have occurred. Approximately 5</w:t>
      </w:r>
      <w:r w:rsidRPr="00BE6E1C">
        <w:rPr>
          <w:rFonts w:ascii="Times New Roman" w:hAnsi="Times New Roman"/>
          <w:sz w:val="24"/>
          <w:szCs w:val="24"/>
        </w:rPr>
        <w:t xml:space="preserve">,000 workers have already been targeted by EGF assistance in the whole basic metals sector, and Member States have the possibility to request further assistance from EU in this field. </w:t>
      </w:r>
    </w:p>
    <w:p w14:paraId="3F328534" w14:textId="7ABE1ED2" w:rsidR="00F038E8" w:rsidRPr="00BE6E1C" w:rsidRDefault="00F038E8" w:rsidP="00F038E8">
      <w:pPr>
        <w:rPr>
          <w:rFonts w:ascii="Times New Roman" w:hAnsi="Times New Roman"/>
          <w:sz w:val="24"/>
          <w:szCs w:val="24"/>
        </w:rPr>
      </w:pPr>
      <w:r w:rsidRPr="00BE6E1C">
        <w:rPr>
          <w:rFonts w:ascii="Times New Roman" w:hAnsi="Times New Roman"/>
          <w:sz w:val="24"/>
          <w:szCs w:val="24"/>
        </w:rPr>
        <w:t xml:space="preserve">It is important to accompany workers and local economies affected in the case of major relocations of activities. To this end, the EU has developed instruments to support workers' employability and mitigate the adverse social consequences of restructuring. The </w:t>
      </w:r>
      <w:r w:rsidRPr="00DE5CE6">
        <w:rPr>
          <w:rFonts w:ascii="Times New Roman" w:hAnsi="Times New Roman"/>
          <w:sz w:val="24"/>
        </w:rPr>
        <w:t>EU Quality Framework for anticipation of Change and Restructuring</w:t>
      </w:r>
      <w:r w:rsidR="000A3373" w:rsidRPr="00DE5CE6">
        <w:rPr>
          <w:rFonts w:ascii="Times New Roman" w:hAnsi="Times New Roman"/>
          <w:sz w:val="24"/>
          <w:vertAlign w:val="superscript"/>
        </w:rPr>
        <w:footnoteReference w:id="11"/>
      </w:r>
      <w:r w:rsidRPr="00BE6E1C">
        <w:rPr>
          <w:rFonts w:ascii="Times New Roman" w:hAnsi="Times New Roman"/>
          <w:sz w:val="24"/>
          <w:szCs w:val="24"/>
        </w:rPr>
        <w:t xml:space="preserve"> can help bring together companies, workers</w:t>
      </w:r>
      <w:r w:rsidRPr="00C950DC">
        <w:rPr>
          <w:rFonts w:ascii="Times New Roman" w:hAnsi="Times New Roman"/>
          <w:sz w:val="24"/>
          <w:szCs w:val="24"/>
        </w:rPr>
        <w:t xml:space="preserve"> and their representatives, social partners and national and regional authorities to achieve a fair and socially responsible management of change and restructuring. T</w:t>
      </w:r>
      <w:r w:rsidRPr="00A150CC">
        <w:rPr>
          <w:rFonts w:ascii="Times New Roman" w:hAnsi="Times New Roman"/>
          <w:sz w:val="24"/>
          <w:szCs w:val="24"/>
        </w:rPr>
        <w:t xml:space="preserve">he </w:t>
      </w:r>
      <w:r w:rsidRPr="00CE787A">
        <w:rPr>
          <w:rFonts w:ascii="Times New Roman" w:hAnsi="Times New Roman"/>
          <w:sz w:val="24"/>
          <w:szCs w:val="24"/>
        </w:rPr>
        <w:t>Commission will involve social partners via the relevant European social dialogue committees in the design and implementation of the necessary measures</w:t>
      </w:r>
      <w:r w:rsidRPr="00BE6E1C">
        <w:rPr>
          <w:rFonts w:ascii="Times New Roman" w:hAnsi="Times New Roman"/>
          <w:sz w:val="24"/>
          <w:szCs w:val="24"/>
        </w:rPr>
        <w:t xml:space="preserve">, e.g. mapping of jobs and skills needs, measures promoting internal and external mobility. </w:t>
      </w:r>
    </w:p>
    <w:p w14:paraId="102CFF53" w14:textId="2EC1BCAF" w:rsidR="00F038E8" w:rsidRPr="00C950DC" w:rsidRDefault="00F038E8" w:rsidP="00F038E8">
      <w:pPr>
        <w:rPr>
          <w:rFonts w:ascii="Times New Roman" w:hAnsi="Times New Roman"/>
          <w:sz w:val="24"/>
          <w:szCs w:val="24"/>
        </w:rPr>
      </w:pPr>
      <w:r w:rsidRPr="00BE6E1C">
        <w:rPr>
          <w:rFonts w:ascii="Times New Roman" w:hAnsi="Times New Roman"/>
          <w:sz w:val="24"/>
          <w:szCs w:val="24"/>
        </w:rPr>
        <w:t>Information and consultation of workers at company level and at European level when transnational issues are at stake are also crucial for solving problems, easing conflicts and developing good practices in anticipating change and preparing and managing restructuring properly. That is why it is important for Member States and relevant stakeholders to fully implement and use the tools provided by the EU</w:t>
      </w:r>
      <w:r w:rsidR="000A3373" w:rsidRPr="00DE5CE6">
        <w:rPr>
          <w:rFonts w:ascii="Times New Roman" w:hAnsi="Times New Roman"/>
          <w:sz w:val="24"/>
          <w:vertAlign w:val="superscript"/>
        </w:rPr>
        <w:footnoteReference w:id="12"/>
      </w:r>
      <w:r w:rsidRPr="00BE6E1C">
        <w:rPr>
          <w:rFonts w:ascii="Times New Roman" w:hAnsi="Times New Roman"/>
          <w:sz w:val="24"/>
          <w:szCs w:val="24"/>
        </w:rPr>
        <w:t xml:space="preserve"> to face </w:t>
      </w:r>
      <w:r w:rsidRPr="00C950DC">
        <w:rPr>
          <w:rFonts w:ascii="Times New Roman" w:hAnsi="Times New Roman"/>
          <w:sz w:val="24"/>
          <w:szCs w:val="24"/>
        </w:rPr>
        <w:t>the challenges of the steel industry.</w:t>
      </w:r>
    </w:p>
    <w:p w14:paraId="264981CC" w14:textId="29A44687" w:rsidR="00F038E8" w:rsidRDefault="00F038E8" w:rsidP="00F038E8">
      <w:pPr>
        <w:rPr>
          <w:rFonts w:ascii="Times New Roman" w:hAnsi="Times New Roman"/>
          <w:sz w:val="24"/>
          <w:szCs w:val="24"/>
        </w:rPr>
      </w:pPr>
      <w:r w:rsidRPr="00CE787A">
        <w:rPr>
          <w:rFonts w:ascii="Times New Roman" w:hAnsi="Times New Roman"/>
          <w:sz w:val="24"/>
          <w:szCs w:val="24"/>
        </w:rPr>
        <w:t xml:space="preserve">The EU also </w:t>
      </w:r>
      <w:r w:rsidRPr="00BE6E1C">
        <w:rPr>
          <w:rFonts w:ascii="Times New Roman" w:hAnsi="Times New Roman"/>
          <w:sz w:val="24"/>
          <w:szCs w:val="24"/>
        </w:rPr>
        <w:t xml:space="preserve">stands ready to support Member States' broader efforts to pursue active labour market policies that seek to equip the unemployed with the skills and qualifications they need to return to the labour market. In 2015, the Commission tabled a </w:t>
      </w:r>
      <w:r w:rsidRPr="00DE5CE6">
        <w:rPr>
          <w:rFonts w:ascii="Times New Roman" w:hAnsi="Times New Roman"/>
          <w:sz w:val="24"/>
        </w:rPr>
        <w:t>proposal to improve the support given to long-term unemployed</w:t>
      </w:r>
      <w:r w:rsidRPr="00C950DC">
        <w:rPr>
          <w:rFonts w:ascii="Times New Roman" w:hAnsi="Times New Roman"/>
          <w:sz w:val="24"/>
          <w:szCs w:val="24"/>
        </w:rPr>
        <w:t xml:space="preserve"> and to make active labour market policy more effective. The </w:t>
      </w:r>
      <w:r w:rsidRPr="00DE5CE6">
        <w:rPr>
          <w:rFonts w:ascii="Times New Roman" w:hAnsi="Times New Roman"/>
          <w:sz w:val="24"/>
        </w:rPr>
        <w:t>European Social Fund</w:t>
      </w:r>
      <w:r w:rsidRPr="00C950DC">
        <w:rPr>
          <w:rFonts w:ascii="Times New Roman" w:hAnsi="Times New Roman"/>
          <w:sz w:val="24"/>
          <w:szCs w:val="24"/>
        </w:rPr>
        <w:t xml:space="preserve"> has allocated EUR 27 billion for measures in the field of education, training and lifelong learning. By 2023, over 10 million unemployed participants are expected to benefit fro</w:t>
      </w:r>
      <w:r w:rsidRPr="00CE787A">
        <w:rPr>
          <w:rFonts w:ascii="Times New Roman" w:hAnsi="Times New Roman"/>
          <w:sz w:val="24"/>
          <w:szCs w:val="24"/>
        </w:rPr>
        <w:t>m the ESF and 2.9 million people are expected to gain a qualification thanks to an ESF intervention. Workers affected by restructuring are likely to qualify for professional training, re-skilling and up-skilling under the European Social Fund, in the frame</w:t>
      </w:r>
      <w:r w:rsidRPr="00BE6E1C">
        <w:rPr>
          <w:rFonts w:ascii="Times New Roman" w:hAnsi="Times New Roman"/>
          <w:sz w:val="24"/>
          <w:szCs w:val="24"/>
        </w:rPr>
        <w:t>work of regional and national operational programmes. Furthermore, investments in skills are eligible under the European Fund for Strategic Investments.</w:t>
      </w:r>
    </w:p>
    <w:p w14:paraId="5AF424D9" w14:textId="77777777" w:rsidR="008D6696" w:rsidRPr="00BE6E1C" w:rsidRDefault="008D6696" w:rsidP="008D6696">
      <w:pPr>
        <w:rPr>
          <w:rFonts w:ascii="Times New Roman" w:hAnsi="Times New Roman"/>
          <w:b/>
          <w:i/>
          <w:sz w:val="24"/>
          <w:szCs w:val="24"/>
        </w:rPr>
      </w:pPr>
      <w:r w:rsidRPr="00BE6E1C">
        <w:rPr>
          <w:rFonts w:ascii="Times New Roman" w:hAnsi="Times New Roman"/>
          <w:b/>
          <w:i/>
          <w:sz w:val="24"/>
          <w:szCs w:val="24"/>
        </w:rPr>
        <w:t>A modern competition policy for a strong European steel sector</w:t>
      </w:r>
    </w:p>
    <w:p w14:paraId="6336754B" w14:textId="77777777" w:rsidR="008D6696" w:rsidRPr="00BE6E1C" w:rsidRDefault="008D6696" w:rsidP="008D6696">
      <w:pPr>
        <w:rPr>
          <w:rFonts w:ascii="Times New Roman" w:hAnsi="Times New Roman"/>
          <w:b/>
          <w:sz w:val="24"/>
          <w:szCs w:val="24"/>
        </w:rPr>
      </w:pPr>
      <w:r w:rsidRPr="00BE6E1C">
        <w:rPr>
          <w:rFonts w:ascii="Times New Roman" w:hAnsi="Times New Roman"/>
          <w:b/>
          <w:sz w:val="24"/>
          <w:szCs w:val="24"/>
        </w:rPr>
        <w:lastRenderedPageBreak/>
        <w:t xml:space="preserve">Competition policy is an important element to support the long term competitiveness of Europe’s steel producers. The Commission encourages Member States to make best use of the modernised EU State aid framework by adapting support to national situations, priorities and constraints, as it is possible under the new framework. </w:t>
      </w:r>
    </w:p>
    <w:p w14:paraId="3B3E9DA1" w14:textId="77777777" w:rsidR="008D6696" w:rsidRPr="00BE6E1C" w:rsidRDefault="008D6696" w:rsidP="008D6696">
      <w:pPr>
        <w:rPr>
          <w:rFonts w:ascii="Times New Roman" w:hAnsi="Times New Roman"/>
          <w:sz w:val="24"/>
          <w:szCs w:val="24"/>
        </w:rPr>
      </w:pPr>
      <w:r w:rsidRPr="00BE6E1C">
        <w:rPr>
          <w:rFonts w:ascii="Times New Roman" w:hAnsi="Times New Roman"/>
          <w:sz w:val="24"/>
          <w:szCs w:val="24"/>
        </w:rPr>
        <w:t xml:space="preserve">To ensure a level playing field for European producers internationally, the Commission is acting both multilaterally, in the OECD and WTO, and bilaterally through its Free Trade Agreements. It is working for increased transparency for all subsidies, a consultation mechanism and disciplines regarding the prohibition of unlimited guarantees and restructuring aid to non-viable companies, the most distortive kinds of subsidies. Support for this approach from the European Parliament and the Council is of crucial importance. </w:t>
      </w:r>
    </w:p>
    <w:p w14:paraId="6C320C17" w14:textId="77777777" w:rsidR="008D6696" w:rsidRPr="00BE6E1C" w:rsidRDefault="008D6696" w:rsidP="008D6696">
      <w:pPr>
        <w:rPr>
          <w:rFonts w:ascii="Times New Roman" w:hAnsi="Times New Roman"/>
          <w:sz w:val="24"/>
          <w:szCs w:val="24"/>
        </w:rPr>
      </w:pPr>
      <w:r w:rsidRPr="00BE6E1C">
        <w:rPr>
          <w:rFonts w:ascii="Times New Roman" w:hAnsi="Times New Roman"/>
          <w:sz w:val="24"/>
          <w:szCs w:val="24"/>
        </w:rPr>
        <w:t xml:space="preserve">EU State aid rules avoid subsidy races in the internal market and promote fairness towards efficient manufacturers who restructure with their own resources. State aid rules have been thoroughly modernised. They allow support to the global competitiveness of efficient and productive steel producers. Member States should make best use of this new framework to support the steel industry. In particular: </w:t>
      </w:r>
    </w:p>
    <w:p w14:paraId="5706D00E" w14:textId="77777777" w:rsidR="008D6696" w:rsidRPr="00BE6E1C" w:rsidRDefault="008D6696" w:rsidP="008D6696">
      <w:pPr>
        <w:pStyle w:val="ListParagraph"/>
        <w:numPr>
          <w:ilvl w:val="0"/>
          <w:numId w:val="42"/>
        </w:numPr>
        <w:rPr>
          <w:rFonts w:ascii="Times New Roman" w:hAnsi="Times New Roman"/>
          <w:sz w:val="24"/>
          <w:szCs w:val="24"/>
        </w:rPr>
      </w:pPr>
      <w:r w:rsidRPr="00BE6E1C">
        <w:rPr>
          <w:rFonts w:ascii="Times New Roman" w:hAnsi="Times New Roman"/>
          <w:sz w:val="24"/>
          <w:szCs w:val="24"/>
        </w:rPr>
        <w:t xml:space="preserve">More support could be given to cross-border industry research or technology projects of common European interest (IPCEI); </w:t>
      </w:r>
    </w:p>
    <w:p w14:paraId="3B68931C" w14:textId="77777777" w:rsidR="008D6696" w:rsidRPr="00BE6E1C" w:rsidRDefault="008D6696" w:rsidP="008D6696">
      <w:pPr>
        <w:pStyle w:val="ListParagraph"/>
        <w:numPr>
          <w:ilvl w:val="0"/>
          <w:numId w:val="42"/>
        </w:numPr>
        <w:rPr>
          <w:rFonts w:ascii="Times New Roman" w:hAnsi="Times New Roman"/>
          <w:sz w:val="24"/>
          <w:szCs w:val="24"/>
        </w:rPr>
      </w:pPr>
      <w:r w:rsidRPr="00BE6E1C">
        <w:rPr>
          <w:rFonts w:ascii="Times New Roman" w:hAnsi="Times New Roman"/>
          <w:sz w:val="24"/>
          <w:szCs w:val="24"/>
        </w:rPr>
        <w:t xml:space="preserve">State aid rules for R&amp;D&amp;I allow public support to incentivise the energy intensive users to develop innovative solutions, such as carbon capture and use (CCU) technologies, and to bridge gaps with trade partners on private expenditure on investment. Some of this support does not need to be notified to the Commission. The Commission stands ready to assist national authorities in identifying swiftly such support measures; </w:t>
      </w:r>
    </w:p>
    <w:p w14:paraId="35E073D6" w14:textId="77777777" w:rsidR="008D6696" w:rsidRPr="00BE6E1C" w:rsidRDefault="008D6696" w:rsidP="008D6696">
      <w:pPr>
        <w:pStyle w:val="ListParagraph"/>
        <w:numPr>
          <w:ilvl w:val="0"/>
          <w:numId w:val="42"/>
        </w:numPr>
        <w:rPr>
          <w:rFonts w:ascii="Times New Roman" w:hAnsi="Times New Roman"/>
          <w:sz w:val="24"/>
          <w:szCs w:val="24"/>
        </w:rPr>
      </w:pPr>
      <w:r w:rsidRPr="00BE6E1C">
        <w:rPr>
          <w:rFonts w:ascii="Times New Roman" w:hAnsi="Times New Roman"/>
          <w:sz w:val="24"/>
          <w:szCs w:val="24"/>
        </w:rPr>
        <w:t>In respect of energy costs faced by energy-intensive industries, Member States are encouraged to compensate indirect financing costs of renewable energy support schemes</w:t>
      </w:r>
      <w:r>
        <w:rPr>
          <w:rFonts w:ascii="Times New Roman" w:hAnsi="Times New Roman"/>
          <w:sz w:val="24"/>
          <w:szCs w:val="24"/>
        </w:rPr>
        <w:t>.</w:t>
      </w:r>
      <w:r w:rsidRPr="00BE6E1C">
        <w:rPr>
          <w:rFonts w:ascii="Times New Roman" w:hAnsi="Times New Roman"/>
          <w:sz w:val="24"/>
          <w:szCs w:val="24"/>
        </w:rPr>
        <w:t xml:space="preserve"> </w:t>
      </w:r>
    </w:p>
    <w:p w14:paraId="5E661C88" w14:textId="21C35FF7" w:rsidR="00864C27" w:rsidRDefault="008D6696" w:rsidP="00864C27">
      <w:pPr>
        <w:rPr>
          <w:rFonts w:ascii="Times New Roman" w:hAnsi="Times New Roman"/>
          <w:sz w:val="24"/>
          <w:szCs w:val="24"/>
        </w:rPr>
      </w:pPr>
      <w:r w:rsidRPr="00BE6E1C">
        <w:rPr>
          <w:rFonts w:ascii="Times New Roman" w:hAnsi="Times New Roman"/>
          <w:sz w:val="24"/>
          <w:szCs w:val="24"/>
        </w:rPr>
        <w:t>The Emission Trading System (ETS) guidelines allow Member States to offset higher electricity costs faced by some energy intensive industries as a result of ETS rules on electricity generators (indirect ETS costs) under certain conditions. The Commission proposal for ETS reform encourages Member States to make use of this possibility. Upon request by individual companies, the Commission also stands ready to swiftly provide additional guidance on the competition assessment of long-term energy supply contracts</w:t>
      </w:r>
      <w:r>
        <w:rPr>
          <w:rFonts w:ascii="Times New Roman" w:hAnsi="Times New Roman"/>
          <w:sz w:val="24"/>
          <w:szCs w:val="24"/>
        </w:rPr>
        <w:t>.</w:t>
      </w:r>
    </w:p>
    <w:p w14:paraId="15BAF85A" w14:textId="4EEA9931" w:rsidR="00F038E8" w:rsidRPr="00BE6E1C" w:rsidRDefault="00F038E8" w:rsidP="00F038E8">
      <w:pPr>
        <w:rPr>
          <w:rFonts w:ascii="Times New Roman" w:hAnsi="Times New Roman"/>
          <w:sz w:val="24"/>
          <w:szCs w:val="24"/>
        </w:rPr>
      </w:pPr>
    </w:p>
    <w:p w14:paraId="455F8AD4" w14:textId="77777777" w:rsidR="00BD75A2" w:rsidRPr="00DE5CE6" w:rsidRDefault="00BD75A2" w:rsidP="00BD75A2">
      <w:pPr>
        <w:pStyle w:val="Heading1"/>
        <w:numPr>
          <w:ilvl w:val="0"/>
          <w:numId w:val="36"/>
        </w:numPr>
        <w:rPr>
          <w:rFonts w:ascii="Times New Roman" w:hAnsi="Times New Roman"/>
          <w:smallCaps/>
        </w:rPr>
      </w:pPr>
      <w:r w:rsidRPr="00DE5CE6">
        <w:rPr>
          <w:rFonts w:ascii="Times New Roman" w:hAnsi="Times New Roman" w:hint="eastAsia"/>
          <w:smallCaps/>
        </w:rPr>
        <w:t>Turning the resource and climate challenges into opportunities</w:t>
      </w:r>
    </w:p>
    <w:p w14:paraId="7D5DAF2B" w14:textId="77777777" w:rsidR="00BD75A2" w:rsidRPr="00C950DC" w:rsidRDefault="00BD75A2" w:rsidP="00BD75A2">
      <w:pPr>
        <w:rPr>
          <w:rFonts w:ascii="Times New Roman" w:hAnsi="Times New Roman"/>
          <w:b/>
          <w:i/>
          <w:sz w:val="24"/>
          <w:szCs w:val="24"/>
        </w:rPr>
      </w:pPr>
      <w:r w:rsidRPr="00BE6E1C">
        <w:rPr>
          <w:rFonts w:ascii="Times New Roman" w:hAnsi="Times New Roman"/>
          <w:b/>
          <w:i/>
          <w:sz w:val="24"/>
          <w:szCs w:val="24"/>
        </w:rPr>
        <w:t>More competitive energy prices</w:t>
      </w:r>
      <w:r w:rsidRPr="00C950DC">
        <w:rPr>
          <w:rFonts w:ascii="Times New Roman" w:hAnsi="Times New Roman"/>
          <w:b/>
          <w:i/>
          <w:sz w:val="24"/>
          <w:szCs w:val="24"/>
        </w:rPr>
        <w:t xml:space="preserve"> in EU Member States</w:t>
      </w:r>
    </w:p>
    <w:p w14:paraId="0E1601C1" w14:textId="77777777" w:rsidR="00BD75A2" w:rsidRPr="00BE6E1C" w:rsidRDefault="00BD75A2" w:rsidP="00BD75A2">
      <w:pPr>
        <w:rPr>
          <w:rFonts w:ascii="Times New Roman" w:hAnsi="Times New Roman"/>
          <w:b/>
          <w:sz w:val="24"/>
          <w:szCs w:val="24"/>
        </w:rPr>
      </w:pPr>
      <w:r w:rsidRPr="00CE787A">
        <w:rPr>
          <w:rFonts w:ascii="Times New Roman" w:hAnsi="Times New Roman"/>
          <w:b/>
          <w:sz w:val="24"/>
          <w:szCs w:val="24"/>
        </w:rPr>
        <w:t>Increased efforts</w:t>
      </w:r>
      <w:r w:rsidRPr="00BE6E1C">
        <w:rPr>
          <w:rFonts w:ascii="Times New Roman" w:hAnsi="Times New Roman"/>
          <w:b/>
          <w:sz w:val="24"/>
          <w:szCs w:val="24"/>
        </w:rPr>
        <w:t xml:space="preserve"> to promote energy efficiency and competitive energy prices are key to competitive and sustainable energy-intensive industries. </w:t>
      </w:r>
    </w:p>
    <w:p w14:paraId="7D4E09A0" w14:textId="77777777" w:rsidR="00BD75A2" w:rsidRPr="00BE6E1C" w:rsidRDefault="00BD75A2" w:rsidP="00BD75A2">
      <w:pPr>
        <w:rPr>
          <w:rFonts w:ascii="Times New Roman" w:hAnsi="Times New Roman"/>
          <w:sz w:val="24"/>
          <w:szCs w:val="24"/>
        </w:rPr>
      </w:pPr>
      <w:r w:rsidRPr="00BE6E1C">
        <w:rPr>
          <w:rFonts w:ascii="Times New Roman" w:hAnsi="Times New Roman"/>
          <w:sz w:val="24"/>
          <w:szCs w:val="24"/>
        </w:rPr>
        <w:t xml:space="preserve">In the light of the recent fall in energy prices, energy costs should now be a less important part of production costs. Wholesale energy prices, the proxy for energy prices paid by energy </w:t>
      </w:r>
      <w:r w:rsidRPr="00BE6E1C">
        <w:rPr>
          <w:rFonts w:ascii="Times New Roman" w:hAnsi="Times New Roman"/>
          <w:sz w:val="24"/>
          <w:szCs w:val="24"/>
        </w:rPr>
        <w:lastRenderedPageBreak/>
        <w:t>intensive industries, are now at historically low levels, comparable to the lowest levels reached in the last decade or the wake of the economic crisis</w:t>
      </w:r>
      <w:r w:rsidRPr="00BE6E1C">
        <w:rPr>
          <w:rStyle w:val="FootnoteReference"/>
          <w:rFonts w:ascii="Times New Roman" w:hAnsi="Times New Roman"/>
          <w:sz w:val="24"/>
          <w:szCs w:val="24"/>
        </w:rPr>
        <w:footnoteReference w:id="13"/>
      </w:r>
      <w:r w:rsidRPr="00BE6E1C">
        <w:rPr>
          <w:rFonts w:ascii="Times New Roman" w:hAnsi="Times New Roman"/>
          <w:sz w:val="24"/>
          <w:szCs w:val="24"/>
        </w:rPr>
        <w:t>. They however continue to vary across Europe, often as a result of taxes and levies which are in the hands of Member States. Relevant energy price gaps with trading partners still exist, but they have been evolving favourably over the past months, particularly with regard to the US. There has been a convergence in international energy prices and price gaps seem to be coming back to pre-crisis levels</w:t>
      </w:r>
      <w:r w:rsidRPr="00BE6E1C">
        <w:rPr>
          <w:rStyle w:val="FootnoteReference"/>
          <w:rFonts w:ascii="Times New Roman" w:hAnsi="Times New Roman"/>
          <w:sz w:val="24"/>
          <w:szCs w:val="24"/>
        </w:rPr>
        <w:footnoteReference w:id="14"/>
      </w:r>
      <w:r w:rsidRPr="00BE6E1C">
        <w:rPr>
          <w:rFonts w:ascii="Times New Roman" w:hAnsi="Times New Roman"/>
          <w:sz w:val="24"/>
          <w:szCs w:val="24"/>
        </w:rPr>
        <w:t xml:space="preserve">. </w:t>
      </w:r>
    </w:p>
    <w:p w14:paraId="35D42807" w14:textId="77777777" w:rsidR="00BD75A2" w:rsidRPr="00BE6E1C" w:rsidRDefault="00BD75A2" w:rsidP="00BD75A2">
      <w:pPr>
        <w:rPr>
          <w:rFonts w:ascii="Times New Roman" w:hAnsi="Times New Roman"/>
          <w:sz w:val="24"/>
          <w:szCs w:val="24"/>
        </w:rPr>
      </w:pPr>
      <w:r w:rsidRPr="00BE6E1C">
        <w:rPr>
          <w:rFonts w:ascii="Times New Roman" w:hAnsi="Times New Roman"/>
          <w:sz w:val="24"/>
          <w:szCs w:val="24"/>
        </w:rPr>
        <w:t>Energy prices are however very volatile and they could rise again. To contain them Europe needs to contain energy consumption, including by encouraging greater energy efficiency of its industry, and promote competitive energy prices by tapping into the potential of the single market and regional cooperation. To support these objectives, the Commission will soon put forward several initiatives under the Energy Union, e.g. proposals on the electricity market design, governance, renewable energy and energy efficiency. The energy prices and costs report the Commission intends to submit in summer 2016 will also assess the predictability of electricity prices over the period of high-capital investments in energy- and CO2-efficient technologies by energy-intensive sectors and further contribute to increasing transparency and understanding on energy costs. Different EU funding opportunities like EFSI and ESIF funds support energy efficiency. For instance, the ESIF will support EU industry's energy efficiency, environmentally-friendly production processes and resource efficiency with EUR 5.7 billion over the period 2014-2020.</w:t>
      </w:r>
    </w:p>
    <w:p w14:paraId="27105369" w14:textId="77777777" w:rsidR="00BD75A2" w:rsidRPr="00BE6E1C" w:rsidRDefault="00BD75A2" w:rsidP="00BD75A2">
      <w:pPr>
        <w:rPr>
          <w:rFonts w:ascii="Times New Roman" w:hAnsi="Times New Roman"/>
          <w:b/>
          <w:i/>
          <w:sz w:val="24"/>
          <w:szCs w:val="24"/>
        </w:rPr>
      </w:pPr>
      <w:r w:rsidRPr="00BE6E1C">
        <w:rPr>
          <w:rFonts w:ascii="Times New Roman" w:hAnsi="Times New Roman"/>
          <w:b/>
          <w:i/>
          <w:sz w:val="24"/>
          <w:szCs w:val="24"/>
        </w:rPr>
        <w:t>Revision of the Emission Trading System</w:t>
      </w:r>
    </w:p>
    <w:p w14:paraId="385CA5D5" w14:textId="77777777" w:rsidR="00BD75A2" w:rsidRPr="00BE6E1C" w:rsidRDefault="00BD75A2" w:rsidP="00BD75A2">
      <w:pPr>
        <w:rPr>
          <w:rFonts w:ascii="Times New Roman" w:hAnsi="Times New Roman"/>
          <w:b/>
          <w:sz w:val="24"/>
          <w:szCs w:val="24"/>
        </w:rPr>
      </w:pPr>
      <w:r w:rsidRPr="00BE6E1C">
        <w:rPr>
          <w:rFonts w:ascii="Times New Roman" w:hAnsi="Times New Roman"/>
          <w:b/>
          <w:sz w:val="24"/>
          <w:szCs w:val="24"/>
        </w:rPr>
        <w:t>Innovation can help the steel sector to remain competitive and adapt to the new realities of climate change.</w:t>
      </w:r>
    </w:p>
    <w:p w14:paraId="5552A92E" w14:textId="7F0D46F4" w:rsidR="00BD75A2" w:rsidRPr="00CE787A" w:rsidRDefault="00BD75A2" w:rsidP="00BD75A2">
      <w:pPr>
        <w:rPr>
          <w:rFonts w:ascii="Times New Roman" w:hAnsi="Times New Roman"/>
          <w:sz w:val="24"/>
          <w:szCs w:val="24"/>
        </w:rPr>
      </w:pPr>
      <w:r w:rsidRPr="00BE6E1C">
        <w:rPr>
          <w:rFonts w:ascii="Times New Roman" w:hAnsi="Times New Roman"/>
          <w:sz w:val="24"/>
          <w:szCs w:val="24"/>
        </w:rPr>
        <w:t xml:space="preserve">Lower carbon cost due to less ambitious climate policies still gives a number of third country producers an unfair competitive advantage vis-à-vis their European competitors. </w:t>
      </w:r>
      <w:r w:rsidR="00A01E0E" w:rsidRPr="00753822">
        <w:rPr>
          <w:rFonts w:ascii="Times New Roman" w:hAnsi="Times New Roman"/>
          <w:sz w:val="24"/>
          <w:szCs w:val="24"/>
        </w:rPr>
        <w:t>While the Paris Agreement is a game changer and sends a clear signal to investors, businesses, and policy-makers that the global transition to clean energy is here to stay, the risk of competitive disadvantages remains.</w:t>
      </w:r>
      <w:r w:rsidR="00753822">
        <w:rPr>
          <w:rFonts w:ascii="Times New Roman" w:hAnsi="Times New Roman"/>
          <w:sz w:val="24"/>
          <w:szCs w:val="24"/>
        </w:rPr>
        <w:t xml:space="preserve"> </w:t>
      </w:r>
      <w:r w:rsidRPr="00BE6E1C">
        <w:rPr>
          <w:rFonts w:ascii="Times New Roman" w:hAnsi="Times New Roman"/>
          <w:sz w:val="24"/>
          <w:szCs w:val="24"/>
        </w:rPr>
        <w:t>Therefore, the Commission proposes in the proposal for the revision of the Emission Trading System</w:t>
      </w:r>
      <w:r w:rsidRPr="00BE6E1C">
        <w:rPr>
          <w:rStyle w:val="FootnoteReference"/>
          <w:rFonts w:ascii="Times New Roman" w:hAnsi="Times New Roman"/>
          <w:sz w:val="24"/>
          <w:szCs w:val="24"/>
        </w:rPr>
        <w:footnoteReference w:id="15"/>
      </w:r>
      <w:r w:rsidRPr="00BE6E1C">
        <w:rPr>
          <w:rFonts w:ascii="Times New Roman" w:hAnsi="Times New Roman"/>
          <w:sz w:val="24"/>
          <w:szCs w:val="24"/>
        </w:rPr>
        <w:t xml:space="preserve"> to distribute the free allowances in such a way that energy intensive industries, including the steel sector, receive an appropriate level of support and continue to reward the best performers. The strategic decision by the European Council to </w:t>
      </w:r>
      <w:r w:rsidRPr="00BE6E1C">
        <w:rPr>
          <w:rFonts w:ascii="Times New Roman" w:hAnsi="Times New Roman"/>
          <w:sz w:val="24"/>
          <w:szCs w:val="24"/>
        </w:rPr>
        <w:lastRenderedPageBreak/>
        <w:t xml:space="preserve">preserve the free allocation regime beyond 2020 and the proposed carbon leakage provisions strike the right balance at this point of time. The proposal is currently being negotiated in the ordinary legislative procedure and the </w:t>
      </w:r>
      <w:r w:rsidR="00F038E8" w:rsidRPr="00F038E8">
        <w:rPr>
          <w:rFonts w:ascii="Times New Roman" w:hAnsi="Times New Roman"/>
          <w:sz w:val="24"/>
          <w:szCs w:val="24"/>
        </w:rPr>
        <w:t>Commission calls on the co-legislators to advance as quickly as possible in the ordinary legislative procedure for the adoption of the reformed Emission Trading System and will provid</w:t>
      </w:r>
      <w:r w:rsidR="00F038E8">
        <w:rPr>
          <w:rFonts w:ascii="Times New Roman" w:hAnsi="Times New Roman"/>
          <w:sz w:val="24"/>
          <w:szCs w:val="24"/>
        </w:rPr>
        <w:t>e additional input as necessary</w:t>
      </w:r>
      <w:r w:rsidRPr="00BE6E1C">
        <w:rPr>
          <w:rFonts w:ascii="Times New Roman" w:hAnsi="Times New Roman"/>
          <w:sz w:val="24"/>
          <w:szCs w:val="24"/>
        </w:rPr>
        <w:t>.</w:t>
      </w:r>
    </w:p>
    <w:p w14:paraId="5F312A84" w14:textId="3B680DAE" w:rsidR="00BD75A2" w:rsidRPr="00BE6E1C" w:rsidRDefault="00BD75A2" w:rsidP="00BD75A2">
      <w:pPr>
        <w:rPr>
          <w:rFonts w:ascii="Times New Roman" w:hAnsi="Times New Roman"/>
          <w:sz w:val="24"/>
          <w:szCs w:val="24"/>
        </w:rPr>
      </w:pPr>
      <w:r w:rsidRPr="00CE787A">
        <w:rPr>
          <w:rFonts w:ascii="Times New Roman" w:hAnsi="Times New Roman"/>
          <w:sz w:val="24"/>
          <w:szCs w:val="24"/>
        </w:rPr>
        <w:t>In order to support investments</w:t>
      </w:r>
      <w:r w:rsidRPr="00BE6E1C">
        <w:rPr>
          <w:rFonts w:ascii="Times New Roman" w:hAnsi="Times New Roman"/>
          <w:sz w:val="24"/>
          <w:szCs w:val="24"/>
        </w:rPr>
        <w:t xml:space="preserve"> in innovation, such as carbon capture and </w:t>
      </w:r>
      <w:r w:rsidR="00753822" w:rsidRPr="00753822">
        <w:rPr>
          <w:rFonts w:ascii="Times New Roman" w:hAnsi="Times New Roman"/>
          <w:sz w:val="24"/>
          <w:szCs w:val="24"/>
        </w:rPr>
        <w:t>use (CCU) technology projects</w:t>
      </w:r>
      <w:r w:rsidRPr="00BE6E1C">
        <w:rPr>
          <w:rFonts w:ascii="Times New Roman" w:hAnsi="Times New Roman"/>
          <w:sz w:val="24"/>
          <w:szCs w:val="24"/>
        </w:rPr>
        <w:t xml:space="preserve">, some 400 million emission allowances are proposed to be reserved from 2021 onwards for this purpose. In addition, a further 50 million of the unallocated allowances from 2013-2020 (that would otherwise be placed in the Market Stability Reserve) will be set aside to enable the Innovation Fund to start before 2021 and fund projects to support the uptake of new breakthrough technologies in industry. </w:t>
      </w:r>
    </w:p>
    <w:p w14:paraId="7C38FDDD" w14:textId="77777777" w:rsidR="00BD75A2" w:rsidRPr="00BE6E1C" w:rsidRDefault="00BD75A2" w:rsidP="00BD75A2">
      <w:pPr>
        <w:rPr>
          <w:rFonts w:ascii="Times New Roman" w:hAnsi="Times New Roman"/>
          <w:b/>
          <w:i/>
          <w:sz w:val="24"/>
          <w:szCs w:val="24"/>
        </w:rPr>
      </w:pPr>
      <w:r w:rsidRPr="00BE6E1C">
        <w:rPr>
          <w:rFonts w:ascii="Times New Roman" w:hAnsi="Times New Roman"/>
          <w:b/>
          <w:i/>
          <w:sz w:val="24"/>
          <w:szCs w:val="24"/>
        </w:rPr>
        <w:t>Closing the loop: the circular economy</w:t>
      </w:r>
    </w:p>
    <w:p w14:paraId="3170076A" w14:textId="77777777" w:rsidR="00BD75A2" w:rsidRPr="00BE6E1C" w:rsidRDefault="00BD75A2" w:rsidP="00BD75A2">
      <w:pPr>
        <w:spacing w:before="100" w:beforeAutospacing="1" w:after="100" w:afterAutospacing="1"/>
        <w:rPr>
          <w:rFonts w:ascii="Times New Roman" w:eastAsia="Times New Roman" w:hAnsi="Times New Roman"/>
          <w:b/>
          <w:sz w:val="24"/>
          <w:szCs w:val="24"/>
          <w:lang w:val="en" w:eastAsia="en-GB"/>
        </w:rPr>
      </w:pPr>
      <w:bookmarkStart w:id="7" w:name="_Toc440614146"/>
      <w:r w:rsidRPr="00BE6E1C">
        <w:rPr>
          <w:rFonts w:ascii="Times New Roman" w:eastAsia="Times New Roman" w:hAnsi="Times New Roman"/>
          <w:b/>
          <w:sz w:val="24"/>
          <w:szCs w:val="24"/>
          <w:lang w:val="en" w:eastAsia="en-GB"/>
        </w:rPr>
        <w:t xml:space="preserve">Recycling raw materials must reduce costs of production and the impact on the environment. It will open up new areas of business, encourage product development and create jobs. </w:t>
      </w:r>
    </w:p>
    <w:p w14:paraId="31D93836" w14:textId="77777777" w:rsidR="00BD75A2" w:rsidRPr="00BE6E1C" w:rsidRDefault="00BD75A2" w:rsidP="00BD75A2">
      <w:pPr>
        <w:rPr>
          <w:rFonts w:ascii="Times New Roman" w:hAnsi="Times New Roman"/>
          <w:sz w:val="24"/>
          <w:szCs w:val="24"/>
        </w:rPr>
      </w:pPr>
      <w:r w:rsidRPr="00BE6E1C">
        <w:rPr>
          <w:rFonts w:ascii="Times New Roman" w:hAnsi="Times New Roman"/>
          <w:sz w:val="24"/>
          <w:szCs w:val="24"/>
        </w:rPr>
        <w:t xml:space="preserve">Steel scrap is used by almost half of the current EU primary steel production, making the EU a global frontrunner in steel recycling. The production from scrap makes producers more independent from raw material imports. As the biggest part of production costs for recycled steel is the cost producers pay for ferrous scrap, an improved EU-market for scrap metal makes such production more competitive. Since their adoption in 2011, the end-of-waste criteria for iron and steel scrap have helped stimulate higher demand for recycled steel. </w:t>
      </w:r>
    </w:p>
    <w:p w14:paraId="754E4D20" w14:textId="77777777" w:rsidR="00BD75A2" w:rsidRPr="00BE6E1C" w:rsidRDefault="00BD75A2" w:rsidP="00BD75A2">
      <w:pPr>
        <w:spacing w:after="120"/>
        <w:rPr>
          <w:rFonts w:ascii="Times New Roman" w:hAnsi="Times New Roman"/>
          <w:i/>
          <w:sz w:val="24"/>
          <w:szCs w:val="24"/>
        </w:rPr>
      </w:pPr>
      <w:r w:rsidRPr="00BE6E1C">
        <w:rPr>
          <w:rFonts w:ascii="Times New Roman" w:hAnsi="Times New Roman"/>
          <w:sz w:val="24"/>
          <w:szCs w:val="24"/>
        </w:rPr>
        <w:t>With the Circular Economy package the Commission has proposed to increase waste recycling rates and sorting systems for construction and demolition waste, and improve the functioning of the Extended Producer Responsibility schemes. It will develop targeted guidelines for use on demolition sites and facilitate the shipment of waste between Member States. These measures should result in more efficient supply chains and help create a real single market for secondary raw materials.</w:t>
      </w:r>
      <w:r w:rsidRPr="00BE6E1C">
        <w:rPr>
          <w:rFonts w:ascii="Times New Roman" w:hAnsi="Times New Roman"/>
          <w:i/>
          <w:sz w:val="24"/>
          <w:szCs w:val="24"/>
        </w:rPr>
        <w:t xml:space="preserve"> </w:t>
      </w:r>
    </w:p>
    <w:p w14:paraId="57F1B8D6" w14:textId="77777777" w:rsidR="00BD75A2" w:rsidRPr="00BE6E1C" w:rsidRDefault="00BD75A2" w:rsidP="00BD75A2">
      <w:pPr>
        <w:spacing w:after="120"/>
        <w:rPr>
          <w:rFonts w:ascii="Times New Roman" w:hAnsi="Times New Roman"/>
          <w:i/>
          <w:sz w:val="24"/>
          <w:szCs w:val="24"/>
        </w:rPr>
      </w:pPr>
      <w:r w:rsidRPr="00BE6E1C">
        <w:rPr>
          <w:rFonts w:ascii="Times New Roman" w:hAnsi="Times New Roman"/>
          <w:iCs/>
          <w:color w:val="000000"/>
          <w:sz w:val="24"/>
          <w:szCs w:val="24"/>
        </w:rPr>
        <w:t>Moreover, the Circular Economy package contains several measures aiming to incentivise innovative industrial processes. For example, industrial symbiosis allows waste or by-products of one industry to become inputs for another</w:t>
      </w:r>
      <w:r w:rsidRPr="00BE6E1C">
        <w:rPr>
          <w:rFonts w:ascii="Times New Roman" w:hAnsi="Times New Roman"/>
          <w:sz w:val="24"/>
          <w:szCs w:val="24"/>
        </w:rPr>
        <w:t xml:space="preserve"> and in the process creating new market opportunities</w:t>
      </w:r>
      <w:r w:rsidRPr="00BE6E1C">
        <w:rPr>
          <w:rFonts w:ascii="Times New Roman" w:hAnsi="Times New Roman"/>
          <w:iCs/>
          <w:color w:val="000000"/>
          <w:sz w:val="24"/>
          <w:szCs w:val="24"/>
        </w:rPr>
        <w:t>. By stimulating these processes, the package will help increase material and energy efficiency of industrial processes and increase cost-competitiveness by facilitating the valorisation of by-products such as steel slag rather than imposing heavy disposal costs.  Another example is the use of the content of blast furnace waste gases through carbon capture and utilisation.</w:t>
      </w:r>
    </w:p>
    <w:p w14:paraId="6F4CDF74" w14:textId="77777777" w:rsidR="00BD75A2" w:rsidRPr="00BE6E1C" w:rsidRDefault="00BD75A2" w:rsidP="00BD75A2">
      <w:pPr>
        <w:spacing w:after="120"/>
        <w:rPr>
          <w:rFonts w:ascii="Times New Roman" w:hAnsi="Times New Roman"/>
          <w:sz w:val="24"/>
          <w:szCs w:val="24"/>
        </w:rPr>
      </w:pPr>
      <w:r w:rsidRPr="00BE6E1C">
        <w:rPr>
          <w:rFonts w:ascii="Times New Roman" w:hAnsi="Times New Roman"/>
          <w:sz w:val="24"/>
          <w:szCs w:val="24"/>
        </w:rPr>
        <w:t xml:space="preserve">But the EU is also taking significant steps to increase transparency in international raw materials markets and in related derivative markets, not least for critical raw materials with a high risk of supply shortage. </w:t>
      </w:r>
    </w:p>
    <w:p w14:paraId="73254CB0" w14:textId="77777777" w:rsidR="00BD75A2" w:rsidRPr="00BE6E1C" w:rsidRDefault="00BD75A2" w:rsidP="00BD75A2">
      <w:pPr>
        <w:pStyle w:val="Heading1"/>
        <w:rPr>
          <w:rFonts w:ascii="Times New Roman" w:hAnsi="Times New Roman" w:cs="Times New Roman"/>
          <w:smallCaps/>
        </w:rPr>
      </w:pPr>
      <w:r w:rsidRPr="00BE6E1C">
        <w:rPr>
          <w:rFonts w:ascii="Times New Roman" w:hAnsi="Times New Roman" w:cs="Times New Roman"/>
          <w:smallCaps/>
        </w:rPr>
        <w:t>Conclusions</w:t>
      </w:r>
    </w:p>
    <w:p w14:paraId="78FBFD30" w14:textId="77777777" w:rsidR="00BD75A2" w:rsidRPr="00BE6E1C" w:rsidRDefault="00BD75A2" w:rsidP="00BD75A2">
      <w:pPr>
        <w:pStyle w:val="ListBullet"/>
        <w:numPr>
          <w:ilvl w:val="0"/>
          <w:numId w:val="0"/>
        </w:numPr>
        <w:rPr>
          <w:szCs w:val="24"/>
        </w:rPr>
      </w:pPr>
      <w:r w:rsidRPr="00BE6E1C">
        <w:rPr>
          <w:szCs w:val="24"/>
        </w:rPr>
        <w:t xml:space="preserve">The European steel industry is facing a number of serious challenges, fuelled by global overcapacity, a dramatic increase of global exports and an unprecedented wave of unfair </w:t>
      </w:r>
      <w:r w:rsidRPr="00BE6E1C">
        <w:rPr>
          <w:szCs w:val="24"/>
        </w:rPr>
        <w:lastRenderedPageBreak/>
        <w:t xml:space="preserve">trading practices. The Commission is aware of these challenges and is taking swift and determined action in a number of policy areas. While it is the responsibility of the industry itself to adapt and innovate in order to face these challenges in a sustainable way, the European Union and its Member States can support these efforts by preserving a level-playing field, promoting investment, particularly in a skilled workforce, and by creating a favourable business environment. Involvement and regular consultation with all stakeholders in a structured way, including at the local level, is particularly important in this context. </w:t>
      </w:r>
    </w:p>
    <w:p w14:paraId="762D0103" w14:textId="77777777" w:rsidR="00BD75A2" w:rsidRPr="00BE6E1C" w:rsidRDefault="00BD75A2" w:rsidP="00BD75A2">
      <w:pPr>
        <w:pStyle w:val="ListBullet"/>
        <w:numPr>
          <w:ilvl w:val="0"/>
          <w:numId w:val="0"/>
        </w:numPr>
        <w:rPr>
          <w:szCs w:val="24"/>
        </w:rPr>
      </w:pPr>
      <w:r w:rsidRPr="00BE6E1C">
        <w:rPr>
          <w:szCs w:val="24"/>
        </w:rPr>
        <w:t xml:space="preserve">The Commission is acting with determination to respond to unfair trade practices resulting from global overcapacity. In addition to the current record-level of trade defence measures in place, it will pursue additional avenues to accelerate the adoption of such measures. The co-legislators should urgently adopt the Commission's trade defence modernisation proposal. Additional reforms will be proposed to further increase the effectiveness of these instruments. The Commission intends to put in place a prior surveillance system on steel products. These further efforts will however only be successful with the support and action from the Member States, the other EU institutions and bodies and the industry itself. </w:t>
      </w:r>
    </w:p>
    <w:p w14:paraId="378CC38E" w14:textId="77777777" w:rsidR="00BD75A2" w:rsidRPr="00BE6E1C" w:rsidRDefault="00BD75A2" w:rsidP="00BD75A2">
      <w:pPr>
        <w:pStyle w:val="ListBullet"/>
        <w:numPr>
          <w:ilvl w:val="0"/>
          <w:numId w:val="0"/>
        </w:numPr>
        <w:rPr>
          <w:szCs w:val="24"/>
        </w:rPr>
      </w:pPr>
      <w:r w:rsidRPr="00BE6E1C">
        <w:rPr>
          <w:szCs w:val="24"/>
        </w:rPr>
        <w:t xml:space="preserve">The long-term challenges of the steel sector will not go away. A range of investment instruments and focused policies in areas like trade, innovation, competition or the Energy Union will help the steel industry to compete through innovation, resource efficiency, modernisation and reform. Best and swift use needs to be made of all these instruments provided by the European Union. </w:t>
      </w:r>
    </w:p>
    <w:p w14:paraId="2E36F4FB" w14:textId="77777777" w:rsidR="00BD75A2" w:rsidRPr="00BE6E1C" w:rsidRDefault="00BD75A2" w:rsidP="00BD75A2">
      <w:pPr>
        <w:pStyle w:val="ListBullet"/>
        <w:numPr>
          <w:ilvl w:val="0"/>
          <w:numId w:val="0"/>
        </w:numPr>
        <w:rPr>
          <w:szCs w:val="24"/>
        </w:rPr>
      </w:pPr>
      <w:r w:rsidRPr="00BE6E1C">
        <w:rPr>
          <w:szCs w:val="24"/>
        </w:rPr>
        <w:t>Finally, modernising the steel industry is also about investing in people. Many of the tools in that area lie in the hands of Member States, but the Union will provide substantial financial and other support, including through the European Social Fund and, should rapid employment reductions become necessary, through the European Globalisation Adjustment Fund which supports the reconversion of redundant workers. With the forthcoming New Skills Agenda, the Commission will aim to build a shared commitment to invest in people and their skills, in close cooperation with Member States and social partners.</w:t>
      </w:r>
    </w:p>
    <w:p w14:paraId="37C4A209" w14:textId="691547CB" w:rsidR="00D9164D" w:rsidRPr="00AB004F" w:rsidRDefault="00BD75A2" w:rsidP="00BD75A2">
      <w:pPr>
        <w:pStyle w:val="ListBullet"/>
        <w:numPr>
          <w:ilvl w:val="0"/>
          <w:numId w:val="0"/>
        </w:numPr>
        <w:rPr>
          <w:szCs w:val="24"/>
        </w:rPr>
      </w:pPr>
      <w:r w:rsidRPr="00BE6E1C">
        <w:rPr>
          <w:szCs w:val="24"/>
        </w:rPr>
        <w:t>The current challenges for the steel industry are serious, but they can be overcome if all players work together in a spirit of sincere cooperation. The Commission will keep the situation of the steel industry under close review, stands ready to take further action, as necessary, and calls on Member States to support the joint European efforts and initiatives with a greater sense of urgency. There is no time to lose if we want to preserve sustainable jobs and growth in Europe.</w:t>
      </w:r>
      <w:bookmarkEnd w:id="7"/>
    </w:p>
    <w:sectPr w:rsidR="00D9164D" w:rsidRPr="00AB004F" w:rsidSect="005E750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FEAB9" w14:textId="77777777" w:rsidR="004B4F60" w:rsidRDefault="004B4F60" w:rsidP="001D4A9C">
      <w:r>
        <w:separator/>
      </w:r>
    </w:p>
  </w:endnote>
  <w:endnote w:type="continuationSeparator" w:id="0">
    <w:p w14:paraId="31D629D3" w14:textId="77777777" w:rsidR="004B4F60" w:rsidRDefault="004B4F60" w:rsidP="001D4A9C">
      <w:r>
        <w:continuationSeparator/>
      </w:r>
    </w:p>
  </w:endnote>
  <w:endnote w:type="continuationNotice" w:id="1">
    <w:p w14:paraId="64E4E616" w14:textId="77777777" w:rsidR="004B4F60" w:rsidRDefault="004B4F60" w:rsidP="001D4A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A3C2E" w14:textId="77777777" w:rsidR="004605D2" w:rsidRPr="004605D2" w:rsidRDefault="004605D2" w:rsidP="004605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2BBA2" w14:textId="26FC61DE" w:rsidR="004605D2" w:rsidRPr="004605D2" w:rsidRDefault="004605D2" w:rsidP="004605D2">
    <w:pPr>
      <w:pStyle w:val="FooterCoverPage"/>
      <w:rPr>
        <w:rFonts w:ascii="Arial" w:hAnsi="Arial" w:cs="Arial"/>
        <w:b/>
        <w:sz w:val="48"/>
      </w:rPr>
    </w:pPr>
    <w:r w:rsidRPr="004605D2">
      <w:rPr>
        <w:rFonts w:ascii="Arial" w:hAnsi="Arial" w:cs="Arial"/>
        <w:b/>
        <w:sz w:val="48"/>
      </w:rPr>
      <w:t>EN</w:t>
    </w:r>
    <w:r w:rsidRPr="004605D2">
      <w:rPr>
        <w:rFonts w:ascii="Arial" w:hAnsi="Arial" w:cs="Arial"/>
        <w:b/>
        <w:sz w:val="48"/>
      </w:rPr>
      <w:tab/>
    </w:r>
    <w:r w:rsidRPr="004605D2">
      <w:rPr>
        <w:rFonts w:ascii="Arial" w:hAnsi="Arial" w:cs="Arial"/>
        <w:b/>
        <w:sz w:val="48"/>
      </w:rPr>
      <w:tab/>
    </w:r>
    <w:r w:rsidR="00EA5A69">
      <w:fldChar w:fldCharType="begin"/>
    </w:r>
    <w:r w:rsidR="00EA5A69">
      <w:instrText xml:space="preserve"> DOCVARIABLE "LW_Confidence" \* MERGEFORMAT </w:instrText>
    </w:r>
    <w:r w:rsidR="00EA5A69">
      <w:fldChar w:fldCharType="separate"/>
    </w:r>
    <w:r>
      <w:t xml:space="preserve"> </w:t>
    </w:r>
    <w:r w:rsidR="00EA5A69">
      <w:fldChar w:fldCharType="end"/>
    </w:r>
    <w:r w:rsidRPr="004605D2">
      <w:tab/>
    </w:r>
    <w:r w:rsidRPr="004605D2">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CFB7" w14:textId="77777777" w:rsidR="004605D2" w:rsidRPr="004605D2" w:rsidRDefault="004605D2" w:rsidP="004605D2">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E76F6" w14:textId="77777777" w:rsidR="003C755C" w:rsidRDefault="003C75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871076"/>
      <w:docPartObj>
        <w:docPartGallery w:val="Page Numbers (Bottom of Page)"/>
        <w:docPartUnique/>
      </w:docPartObj>
    </w:sdtPr>
    <w:sdtEndPr>
      <w:rPr>
        <w:noProof/>
      </w:rPr>
    </w:sdtEndPr>
    <w:sdtContent>
      <w:p w14:paraId="5935063E" w14:textId="6473D821" w:rsidR="003C755C" w:rsidRDefault="003C755C">
        <w:pPr>
          <w:pStyle w:val="Footer"/>
          <w:jc w:val="center"/>
        </w:pPr>
        <w:r>
          <w:fldChar w:fldCharType="begin"/>
        </w:r>
        <w:r>
          <w:instrText xml:space="preserve"> PAGE   \* MERGEFORMAT </w:instrText>
        </w:r>
        <w:r>
          <w:fldChar w:fldCharType="separate"/>
        </w:r>
        <w:r w:rsidR="00EA5A69">
          <w:rPr>
            <w:noProof/>
          </w:rPr>
          <w:t>2</w:t>
        </w:r>
        <w:r>
          <w:rPr>
            <w:noProof/>
          </w:rPr>
          <w:fldChar w:fldCharType="end"/>
        </w:r>
      </w:p>
    </w:sdtContent>
  </w:sdt>
  <w:p w14:paraId="39D5CFB1" w14:textId="77777777" w:rsidR="003C755C" w:rsidRPr="003C755C" w:rsidRDefault="003C755C" w:rsidP="003C755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B0C8D" w14:textId="77777777" w:rsidR="003C755C" w:rsidRDefault="003C7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B2235" w14:textId="77777777" w:rsidR="004B4F60" w:rsidRDefault="004B4F60" w:rsidP="001D4A9C">
      <w:r>
        <w:separator/>
      </w:r>
    </w:p>
  </w:footnote>
  <w:footnote w:type="continuationSeparator" w:id="0">
    <w:p w14:paraId="0845F888" w14:textId="77777777" w:rsidR="004B4F60" w:rsidRDefault="004B4F60" w:rsidP="001D4A9C">
      <w:r>
        <w:continuationSeparator/>
      </w:r>
    </w:p>
  </w:footnote>
  <w:footnote w:type="continuationNotice" w:id="1">
    <w:p w14:paraId="10CAADE7" w14:textId="77777777" w:rsidR="004B4F60" w:rsidRDefault="004B4F60" w:rsidP="001D4A9C"/>
  </w:footnote>
  <w:footnote w:id="2">
    <w:p w14:paraId="27F333A8" w14:textId="77777777" w:rsidR="00BD75A2" w:rsidRPr="003F72DC" w:rsidRDefault="00BD75A2" w:rsidP="00DE5CE6">
      <w:pPr>
        <w:pStyle w:val="FootnoteText"/>
        <w:spacing w:line="240" w:lineRule="auto"/>
        <w:ind w:left="284" w:hanging="284"/>
        <w:rPr>
          <w:rFonts w:ascii="Times New Roman" w:hAnsi="Times New Roman"/>
        </w:rPr>
      </w:pPr>
      <w:r w:rsidRPr="00666EF1">
        <w:rPr>
          <w:rStyle w:val="FootnoteReference"/>
          <w:rFonts w:ascii="Times New Roman" w:hAnsi="Times New Roman"/>
        </w:rPr>
        <w:footnoteRef/>
      </w:r>
      <w:r w:rsidRPr="003F72DC">
        <w:rPr>
          <w:rFonts w:ascii="Times New Roman" w:hAnsi="Times New Roman"/>
        </w:rPr>
        <w:t xml:space="preserve"> </w:t>
      </w:r>
      <w:r w:rsidRPr="003F72DC">
        <w:rPr>
          <w:rFonts w:ascii="Times New Roman" w:hAnsi="Times New Roman"/>
        </w:rPr>
        <w:tab/>
        <w:t>2014</w:t>
      </w:r>
      <w:r>
        <w:rPr>
          <w:rFonts w:ascii="Times New Roman" w:hAnsi="Times New Roman"/>
        </w:rPr>
        <w:t>.</w:t>
      </w:r>
    </w:p>
  </w:footnote>
  <w:footnote w:id="3">
    <w:p w14:paraId="381188C7" w14:textId="77777777" w:rsidR="00BD75A2" w:rsidRPr="00A86AED" w:rsidRDefault="00BD75A2" w:rsidP="00BD75A2">
      <w:pPr>
        <w:pStyle w:val="FootnoteText"/>
        <w:spacing w:line="240" w:lineRule="auto"/>
        <w:ind w:left="284" w:hanging="284"/>
      </w:pPr>
      <w:r>
        <w:rPr>
          <w:rStyle w:val="FootnoteReference"/>
          <w:rFonts w:ascii="Times New Roman" w:hAnsi="Times New Roman"/>
        </w:rPr>
        <w:footnoteRef/>
      </w:r>
      <w:r w:rsidRPr="00A86AED">
        <w:rPr>
          <w:rFonts w:ascii="Times New Roman" w:hAnsi="Times New Roman"/>
        </w:rPr>
        <w:t xml:space="preserve"> </w:t>
      </w:r>
      <w:r w:rsidRPr="00A86AED">
        <w:rPr>
          <w:rFonts w:ascii="Times New Roman" w:hAnsi="Times New Roman"/>
        </w:rPr>
        <w:tab/>
      </w:r>
      <w:r>
        <w:rPr>
          <w:rFonts w:ascii="Times New Roman" w:hAnsi="Times New Roman"/>
        </w:rPr>
        <w:t>D</w:t>
      </w:r>
      <w:r w:rsidRPr="003F72DC">
        <w:rPr>
          <w:rFonts w:ascii="Times New Roman" w:hAnsi="Times New Roman"/>
        </w:rPr>
        <w:t xml:space="preserve">ifference between </w:t>
      </w:r>
      <w:r>
        <w:rPr>
          <w:rFonts w:ascii="Times New Roman" w:hAnsi="Times New Roman"/>
        </w:rPr>
        <w:t xml:space="preserve">OECD </w:t>
      </w:r>
      <w:r w:rsidRPr="00A62CED">
        <w:rPr>
          <w:rFonts w:ascii="Times New Roman" w:hAnsi="Times New Roman"/>
        </w:rPr>
        <w:t>(2015)</w:t>
      </w:r>
      <w:r>
        <w:rPr>
          <w:rFonts w:ascii="Times New Roman" w:hAnsi="Times New Roman"/>
        </w:rPr>
        <w:t xml:space="preserve"> </w:t>
      </w:r>
      <w:r w:rsidRPr="003F72DC">
        <w:rPr>
          <w:rFonts w:ascii="Times New Roman" w:hAnsi="Times New Roman"/>
        </w:rPr>
        <w:t>capacity figures and actual steel production (World</w:t>
      </w:r>
      <w:r>
        <w:rPr>
          <w:rFonts w:ascii="Times New Roman" w:hAnsi="Times New Roman"/>
        </w:rPr>
        <w:t xml:space="preserve"> </w:t>
      </w:r>
      <w:r w:rsidRPr="003F72DC">
        <w:rPr>
          <w:rFonts w:ascii="Times New Roman" w:hAnsi="Times New Roman"/>
        </w:rPr>
        <w:t>Steel Association 2015)</w:t>
      </w:r>
      <w:r>
        <w:rPr>
          <w:rFonts w:ascii="Times New Roman" w:hAnsi="Times New Roman"/>
        </w:rPr>
        <w:t>.</w:t>
      </w:r>
    </w:p>
  </w:footnote>
  <w:footnote w:id="4">
    <w:p w14:paraId="13B8FE7B" w14:textId="77777777" w:rsidR="00BD75A2" w:rsidRPr="003F72DC" w:rsidRDefault="00BD75A2" w:rsidP="00DE5CE6">
      <w:pPr>
        <w:pStyle w:val="FootnoteText"/>
        <w:spacing w:line="240" w:lineRule="auto"/>
        <w:ind w:left="240" w:hanging="240"/>
        <w:rPr>
          <w:rFonts w:ascii="Times New Roman" w:hAnsi="Times New Roman"/>
        </w:rPr>
      </w:pPr>
      <w:r w:rsidRPr="003F72DC">
        <w:rPr>
          <w:rStyle w:val="FootnoteReference"/>
          <w:rFonts w:ascii="Times New Roman" w:hAnsi="Times New Roman"/>
        </w:rPr>
        <w:footnoteRef/>
      </w:r>
      <w:r w:rsidRPr="003F72DC">
        <w:rPr>
          <w:rFonts w:ascii="Times New Roman" w:hAnsi="Times New Roman"/>
        </w:rPr>
        <w:t xml:space="preserve"> </w:t>
      </w:r>
      <w:r w:rsidRPr="003F72DC">
        <w:rPr>
          <w:rFonts w:ascii="Times New Roman" w:hAnsi="Times New Roman"/>
        </w:rPr>
        <w:tab/>
        <w:t>COM/2013/0407</w:t>
      </w:r>
      <w:r>
        <w:rPr>
          <w:rFonts w:ascii="Times New Roman" w:hAnsi="Times New Roman"/>
        </w:rPr>
        <w:t>.</w:t>
      </w:r>
    </w:p>
  </w:footnote>
  <w:footnote w:id="5">
    <w:p w14:paraId="3B077366" w14:textId="77777777" w:rsidR="00BD75A2" w:rsidRPr="003F72DC" w:rsidRDefault="00BD75A2" w:rsidP="00BD75A2">
      <w:pPr>
        <w:pStyle w:val="FootnoteText"/>
        <w:spacing w:line="240" w:lineRule="auto"/>
        <w:ind w:left="284" w:hanging="284"/>
      </w:pPr>
      <w:r w:rsidRPr="00C6015C">
        <w:rPr>
          <w:rStyle w:val="FootnoteReference"/>
          <w:rFonts w:ascii="Times New Roman" w:hAnsi="Times New Roman"/>
        </w:rPr>
        <w:footnoteRef/>
      </w:r>
      <w:r w:rsidRPr="003F72DC">
        <w:rPr>
          <w:rFonts w:ascii="Times New Roman" w:hAnsi="Times New Roman"/>
        </w:rPr>
        <w:t xml:space="preserve"> </w:t>
      </w:r>
      <w:r w:rsidRPr="003F72DC">
        <w:rPr>
          <w:rFonts w:ascii="Times New Roman" w:hAnsi="Times New Roman"/>
        </w:rPr>
        <w:tab/>
        <w:t>P8_TA(2015)0460/ A8-0309/2015</w:t>
      </w:r>
      <w:r>
        <w:rPr>
          <w:rFonts w:ascii="Times New Roman" w:hAnsi="Times New Roman"/>
        </w:rPr>
        <w:t>.</w:t>
      </w:r>
    </w:p>
  </w:footnote>
  <w:footnote w:id="6">
    <w:p w14:paraId="27E2EB2B" w14:textId="77777777" w:rsidR="00BD75A2" w:rsidRPr="00A94A48" w:rsidRDefault="00BD75A2" w:rsidP="00BD75A2">
      <w:pPr>
        <w:pStyle w:val="FootnoteText"/>
        <w:spacing w:line="240" w:lineRule="auto"/>
        <w:ind w:left="284" w:hanging="284"/>
        <w:rPr>
          <w:rFonts w:ascii="Times New Roman" w:hAnsi="Times New Roman"/>
        </w:rPr>
      </w:pPr>
      <w:r>
        <w:rPr>
          <w:rStyle w:val="FootnoteReference"/>
          <w:rFonts w:ascii="Times New Roman" w:hAnsi="Times New Roman"/>
        </w:rPr>
        <w:t>5</w:t>
      </w:r>
      <w:r w:rsidRPr="002749A7">
        <w:rPr>
          <w:rFonts w:ascii="Times New Roman" w:hAnsi="Times New Roman"/>
        </w:rPr>
        <w:t xml:space="preserve"> </w:t>
      </w:r>
      <w:r w:rsidRPr="002749A7">
        <w:rPr>
          <w:rFonts w:ascii="Times New Roman" w:hAnsi="Times New Roman"/>
        </w:rPr>
        <w:tab/>
      </w:r>
      <w:r w:rsidRPr="00896BA8">
        <w:rPr>
          <w:rFonts w:ascii="Times New Roman" w:hAnsi="Times New Roman"/>
        </w:rPr>
        <w:t>Compared to other jurisdictions, the EU trade defence instruments are based on the involvement of Member States at key stages of the investigation. The Commission is required, among others, to conduct a full-fledged Union interest test analysis and detailed injury calculations to apply the lesser-duty rule.</w:t>
      </w:r>
      <w:r w:rsidRPr="00A71E8A">
        <w:rPr>
          <w:rFonts w:ascii="Times New Roman" w:hAnsi="Times New Roman"/>
        </w:rPr>
        <w:t xml:space="preserve"> </w:t>
      </w:r>
      <w:r w:rsidRPr="00A9265D">
        <w:rPr>
          <w:rFonts w:ascii="Times New Roman" w:hAnsi="Times New Roman"/>
        </w:rPr>
        <w:t>Under the lesser duty rule the level of the anti-dumping duty is equal to the lesser of the dumping and the injury margin, resulting in lower duties. This rule is mandatory under EU anti-dumping legislation, whereas it is simply recommended under WTO rules</w:t>
      </w:r>
      <w:r>
        <w:rPr>
          <w:rFonts w:ascii="Times New Roman" w:hAnsi="Times New Roman"/>
        </w:rPr>
        <w:t>. The lesser duty rule is not applied by trade partners in a comparable situation as the EU.</w:t>
      </w:r>
    </w:p>
  </w:footnote>
  <w:footnote w:id="7">
    <w:p w14:paraId="6806AB8A" w14:textId="2EFF8A0D" w:rsidR="00F038E8" w:rsidRDefault="00F038E8" w:rsidP="00C560E9">
      <w:pPr>
        <w:pStyle w:val="FootnoteText"/>
        <w:ind w:left="240" w:hanging="240"/>
      </w:pPr>
      <w:r>
        <w:rPr>
          <w:rStyle w:val="FootnoteReference"/>
        </w:rPr>
        <w:footnoteRef/>
      </w:r>
      <w:r>
        <w:t xml:space="preserve"> </w:t>
      </w:r>
      <w:r>
        <w:tab/>
      </w:r>
      <w:r w:rsidRPr="00C560E9">
        <w:rPr>
          <w:rFonts w:ascii="Times New Roman" w:hAnsi="Times New Roman"/>
        </w:rPr>
        <w:t>In line with Commission’s Better Regulation Guidelines, SWD(2015) 111</w:t>
      </w:r>
    </w:p>
  </w:footnote>
  <w:footnote w:id="8">
    <w:p w14:paraId="7B344AD0" w14:textId="77777777" w:rsidR="00BD75A2" w:rsidRPr="003F72DC" w:rsidRDefault="00BD75A2" w:rsidP="00BD75A2">
      <w:pPr>
        <w:pStyle w:val="FootnoteText"/>
        <w:spacing w:line="240" w:lineRule="auto"/>
        <w:ind w:left="284" w:hanging="284"/>
        <w:rPr>
          <w:rFonts w:ascii="Times New Roman" w:hAnsi="Times New Roman"/>
        </w:rPr>
      </w:pPr>
      <w:r w:rsidRPr="00666EF1">
        <w:rPr>
          <w:rStyle w:val="FootnoteReference"/>
          <w:rFonts w:ascii="Times New Roman" w:hAnsi="Times New Roman"/>
        </w:rPr>
        <w:footnoteRef/>
      </w:r>
      <w:r w:rsidRPr="003F72DC">
        <w:rPr>
          <w:rFonts w:ascii="Times New Roman" w:hAnsi="Times New Roman"/>
        </w:rPr>
        <w:t xml:space="preserve"> </w:t>
      </w:r>
      <w:r w:rsidRPr="003F72DC">
        <w:rPr>
          <w:rFonts w:ascii="Times New Roman" w:hAnsi="Times New Roman"/>
        </w:rPr>
        <w:tab/>
      </w:r>
      <w:r>
        <w:rPr>
          <w:rFonts w:ascii="Times New Roman" w:hAnsi="Times New Roman"/>
        </w:rPr>
        <w:t>Achieving this objective would bring the Union significantly closer to the speed of imposing trade defence measures in other jurisdictions, despite a more demanding and complex legal framework. It can however only be achieved with the active support of the Member States and the industry.</w:t>
      </w:r>
    </w:p>
  </w:footnote>
  <w:footnote w:id="9">
    <w:p w14:paraId="20270886" w14:textId="77777777" w:rsidR="00BD75A2" w:rsidRDefault="00BD75A2" w:rsidP="00BD75A2">
      <w:pPr>
        <w:pStyle w:val="FootnoteText"/>
        <w:spacing w:line="240" w:lineRule="auto"/>
        <w:ind w:left="284" w:hanging="284"/>
      </w:pPr>
      <w:r>
        <w:rPr>
          <w:rStyle w:val="FootnoteReference"/>
        </w:rPr>
        <w:footnoteRef/>
      </w:r>
      <w:r>
        <w:rPr>
          <w:rFonts w:ascii="Times New Roman" w:hAnsi="Times New Roman"/>
        </w:rPr>
        <w:t xml:space="preserve"> </w:t>
      </w:r>
      <w:r>
        <w:rPr>
          <w:rFonts w:ascii="Times New Roman" w:hAnsi="Times New Roman"/>
        </w:rPr>
        <w:tab/>
        <w:t xml:space="preserve">Regulation (EU) 2015/1017 of the European Parliament and of the Council of 25 June 2015 on the European Fund for Strategic Investments, the European Investment Advisory Hub and the European Investment Project Portal and amending Regulations (EU) No 1291/2013 and (EU) No 1316/2013 — the European Fund for Strategic Investments, OJ L 169, 1.7.2015, p. 1. </w:t>
      </w:r>
    </w:p>
  </w:footnote>
  <w:footnote w:id="10">
    <w:p w14:paraId="147EB301" w14:textId="77777777" w:rsidR="00BD75A2" w:rsidRDefault="00BD75A2" w:rsidP="00BD75A2">
      <w:pPr>
        <w:pStyle w:val="FootnoteText"/>
        <w:spacing w:line="240" w:lineRule="auto"/>
        <w:ind w:left="284" w:hanging="284"/>
      </w:pPr>
      <w:r>
        <w:rPr>
          <w:rStyle w:val="FootnoteReference"/>
        </w:rPr>
        <w:footnoteRef/>
      </w:r>
      <w:r>
        <w:rPr>
          <w:rFonts w:ascii="Times New Roman" w:hAnsi="Times New Roman"/>
        </w:rPr>
        <w:t xml:space="preserve"> </w:t>
      </w:r>
      <w:r>
        <w:rPr>
          <w:rFonts w:ascii="Times New Roman" w:hAnsi="Times New Roman"/>
        </w:rPr>
        <w:tab/>
        <w:t xml:space="preserve">Sustainable Process Industry through Resource and Energy Efficiency. </w:t>
      </w:r>
    </w:p>
  </w:footnote>
  <w:footnote w:id="11">
    <w:p w14:paraId="6AB15499" w14:textId="6475D446" w:rsidR="000A3373" w:rsidRDefault="000A3373" w:rsidP="000A3373">
      <w:pPr>
        <w:pStyle w:val="FootnoteText"/>
        <w:spacing w:line="240" w:lineRule="auto"/>
        <w:ind w:left="284" w:hanging="284"/>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COM(2013) 882</w:t>
      </w:r>
      <w:r w:rsidR="008725D1">
        <w:rPr>
          <w:rFonts w:ascii="Times New Roman" w:hAnsi="Times New Roman"/>
        </w:rPr>
        <w:t>.</w:t>
      </w:r>
    </w:p>
  </w:footnote>
  <w:footnote w:id="12">
    <w:p w14:paraId="59706435" w14:textId="77777777" w:rsidR="000A3373" w:rsidRPr="008018FC" w:rsidRDefault="000A3373" w:rsidP="000A3373">
      <w:pPr>
        <w:pStyle w:val="FootnoteText"/>
        <w:spacing w:line="240" w:lineRule="auto"/>
        <w:ind w:left="284" w:hanging="284"/>
        <w:rPr>
          <w:rFonts w:ascii="Times New Roman" w:hAnsi="Times New Roman"/>
        </w:rPr>
      </w:pPr>
      <w:r w:rsidRPr="008018FC">
        <w:rPr>
          <w:rStyle w:val="FootnoteReference"/>
          <w:rFonts w:ascii="Times New Roman" w:hAnsi="Times New Roman"/>
        </w:rPr>
        <w:footnoteRef/>
      </w:r>
      <w:r w:rsidRPr="008018FC">
        <w:rPr>
          <w:rFonts w:ascii="Times New Roman" w:hAnsi="Times New Roman"/>
        </w:rPr>
        <w:t xml:space="preserve"> </w:t>
      </w:r>
      <w:r w:rsidRPr="008018FC">
        <w:rPr>
          <w:rFonts w:ascii="Times New Roman" w:hAnsi="Times New Roman"/>
        </w:rPr>
        <w:tab/>
        <w:t>Directive 2009/38/EC on the establishment of a European Work Council of a procedure in Community-scale undertakings and Community-scale groups of undertakings for the purposes of informing and consulting employees, Directive 2002/14/EC establishing a general framework for informing and consulting employees in the EC, Directive 2001/23/EC relating to the safeguarding of employees' rights in the event of transfers of undertakings, businesses or parts of undertakings or businesses, Directive 98/59/EC of 20 July 1998 relating to collective redundancies</w:t>
      </w:r>
      <w:r>
        <w:rPr>
          <w:rFonts w:ascii="Times New Roman" w:hAnsi="Times New Roman"/>
        </w:rPr>
        <w:t xml:space="preserve">. </w:t>
      </w:r>
    </w:p>
  </w:footnote>
  <w:footnote w:id="13">
    <w:p w14:paraId="4491D416" w14:textId="707024F7" w:rsidR="00BD75A2" w:rsidRPr="006A6FFB" w:rsidRDefault="00BD75A2" w:rsidP="00BD75A2">
      <w:pPr>
        <w:pStyle w:val="FootnoteText"/>
        <w:spacing w:line="240" w:lineRule="auto"/>
        <w:ind w:left="284" w:hanging="284"/>
        <w:rPr>
          <w:rFonts w:ascii="Times New Roman" w:hAnsi="Times New Roman"/>
          <w:bCs/>
        </w:rPr>
      </w:pPr>
      <w:r w:rsidRPr="006A6FFB">
        <w:rPr>
          <w:rStyle w:val="FootnoteReference"/>
          <w:rFonts w:ascii="Times New Roman" w:hAnsi="Times New Roman"/>
        </w:rPr>
        <w:footnoteRef/>
      </w:r>
      <w:r w:rsidRPr="006A6FFB">
        <w:rPr>
          <w:rFonts w:ascii="Times New Roman" w:hAnsi="Times New Roman"/>
        </w:rPr>
        <w:t xml:space="preserve"> </w:t>
      </w:r>
      <w:r w:rsidRPr="006A6FFB">
        <w:rPr>
          <w:rFonts w:ascii="Times New Roman" w:hAnsi="Times New Roman"/>
        </w:rPr>
        <w:tab/>
      </w:r>
      <w:r w:rsidRPr="006A6FFB">
        <w:rPr>
          <w:rFonts w:ascii="Times New Roman" w:hAnsi="Times New Roman"/>
          <w:bCs/>
        </w:rPr>
        <w:t>Gas prices are now the lowest in six years (13 €/MWh</w:t>
      </w:r>
      <w:r>
        <w:rPr>
          <w:rFonts w:ascii="Times New Roman" w:hAnsi="Times New Roman"/>
          <w:bCs/>
        </w:rPr>
        <w:t>)</w:t>
      </w:r>
      <w:r w:rsidRPr="006A6FFB">
        <w:rPr>
          <w:rFonts w:ascii="Times New Roman" w:hAnsi="Times New Roman"/>
          <w:bCs/>
        </w:rPr>
        <w:t>. Electricity prices have been falling since the peak reached in 2012 (66</w:t>
      </w:r>
      <w:r w:rsidR="008725D1">
        <w:rPr>
          <w:rFonts w:ascii="Times New Roman" w:hAnsi="Times New Roman"/>
          <w:bCs/>
        </w:rPr>
        <w:t xml:space="preserve"> €/</w:t>
      </w:r>
      <w:r w:rsidRPr="006A6FFB">
        <w:rPr>
          <w:rFonts w:ascii="Times New Roman" w:hAnsi="Times New Roman"/>
          <w:bCs/>
        </w:rPr>
        <w:t xml:space="preserve">MWh). They are now at the lowest levels in twelve years (30 €/MWh). Coal prices, important for the steel industry, </w:t>
      </w:r>
      <w:r w:rsidRPr="006A6FFB">
        <w:rPr>
          <w:rFonts w:ascii="Times New Roman" w:hAnsi="Times New Roman"/>
        </w:rPr>
        <w:t xml:space="preserve">have also significantly decreased over the last </w:t>
      </w:r>
      <w:r w:rsidRPr="006A6FFB">
        <w:rPr>
          <w:rFonts w:ascii="Times New Roman" w:hAnsi="Times New Roman"/>
          <w:bCs/>
        </w:rPr>
        <w:t xml:space="preserve">few years and at the beginning of 2016 they are less than half of the price level five years ago. Finally, oil prices recently reached their minimum in 12 years. </w:t>
      </w:r>
    </w:p>
  </w:footnote>
  <w:footnote w:id="14">
    <w:p w14:paraId="29822F61" w14:textId="77777777" w:rsidR="00BD75A2" w:rsidRPr="006A6FFB" w:rsidRDefault="00BD75A2" w:rsidP="00BD75A2">
      <w:pPr>
        <w:pStyle w:val="FootnoteText"/>
        <w:spacing w:line="240" w:lineRule="auto"/>
        <w:ind w:left="284" w:hanging="284"/>
        <w:rPr>
          <w:rFonts w:ascii="Times New Roman" w:hAnsi="Times New Roman"/>
          <w:bCs/>
        </w:rPr>
      </w:pPr>
      <w:r w:rsidRPr="006A6FFB">
        <w:rPr>
          <w:rStyle w:val="FootnoteReference"/>
          <w:rFonts w:ascii="Times New Roman" w:hAnsi="Times New Roman"/>
        </w:rPr>
        <w:footnoteRef/>
      </w:r>
      <w:r w:rsidRPr="006A6FFB">
        <w:rPr>
          <w:rFonts w:ascii="Times New Roman" w:hAnsi="Times New Roman"/>
        </w:rPr>
        <w:t xml:space="preserve"> </w:t>
      </w:r>
      <w:r w:rsidRPr="006A6FFB">
        <w:rPr>
          <w:rFonts w:ascii="Times New Roman" w:hAnsi="Times New Roman"/>
        </w:rPr>
        <w:tab/>
      </w:r>
      <w:r w:rsidRPr="006A6FFB">
        <w:rPr>
          <w:rFonts w:ascii="Times New Roman" w:hAnsi="Times New Roman"/>
          <w:bCs/>
        </w:rPr>
        <w:t>Gas prices in the EU now are twice (2.1 in January-February 2016), not four times those of the US as in 2012. EU electricity prices are now about 60-70% higher than those in the US, instead of twice as in 2012. As regards Japan, gas prices are now slightly above the EU prices (1.1 in 2016)</w:t>
      </w:r>
      <w:r>
        <w:rPr>
          <w:rFonts w:ascii="Times New Roman" w:hAnsi="Times New Roman"/>
          <w:bCs/>
        </w:rPr>
        <w:t xml:space="preserve"> and</w:t>
      </w:r>
      <w:r w:rsidRPr="006A6FFB">
        <w:rPr>
          <w:rFonts w:ascii="Times New Roman" w:hAnsi="Times New Roman"/>
          <w:bCs/>
        </w:rPr>
        <w:t xml:space="preserve"> electricity prices 1.8 times the EU prices.</w:t>
      </w:r>
    </w:p>
  </w:footnote>
  <w:footnote w:id="15">
    <w:p w14:paraId="0260587C" w14:textId="77777777" w:rsidR="00BD75A2" w:rsidRPr="003F72DC" w:rsidRDefault="00BD75A2" w:rsidP="00BD75A2">
      <w:pPr>
        <w:pStyle w:val="FootnoteText"/>
        <w:spacing w:line="240" w:lineRule="auto"/>
        <w:ind w:left="360" w:hanging="360"/>
        <w:rPr>
          <w:rFonts w:ascii="Times New Roman" w:hAnsi="Times New Roman"/>
        </w:rPr>
      </w:pPr>
      <w:r w:rsidRPr="003F72DC">
        <w:rPr>
          <w:rStyle w:val="FootnoteReference"/>
          <w:rFonts w:ascii="Times New Roman" w:hAnsi="Times New Roman"/>
        </w:rPr>
        <w:footnoteRef/>
      </w:r>
      <w:r w:rsidRPr="003F72DC">
        <w:rPr>
          <w:rFonts w:ascii="Times New Roman" w:hAnsi="Times New Roman"/>
        </w:rPr>
        <w:t xml:space="preserve"> </w:t>
      </w:r>
      <w:r>
        <w:rPr>
          <w:rFonts w:ascii="Times New Roman" w:hAnsi="Times New Roman"/>
        </w:rPr>
        <w:tab/>
      </w:r>
      <w:r w:rsidRPr="003F72DC">
        <w:rPr>
          <w:rFonts w:ascii="Times New Roman" w:hAnsi="Times New Roman"/>
        </w:rPr>
        <w:t>COM (2015) 337</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00723" w14:textId="77777777" w:rsidR="004605D2" w:rsidRPr="004605D2" w:rsidRDefault="004605D2" w:rsidP="004605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726D1" w14:textId="77777777" w:rsidR="004605D2" w:rsidRPr="004605D2" w:rsidRDefault="004605D2" w:rsidP="004605D2">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B971" w14:textId="77777777" w:rsidR="004605D2" w:rsidRPr="004605D2" w:rsidRDefault="004605D2" w:rsidP="004605D2">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9AAB8" w14:textId="77777777" w:rsidR="003C755C" w:rsidRDefault="003C75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B722B" w14:textId="77777777" w:rsidR="00CF4607" w:rsidRPr="00A93A9B" w:rsidRDefault="00CF4607" w:rsidP="00A93A9B">
    <w:pPr>
      <w:pStyle w:val="Header"/>
      <w:spacing w:after="0"/>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CD8D" w14:textId="77777777" w:rsidR="003C755C" w:rsidRDefault="003C7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517"/>
    <w:multiLevelType w:val="hybridMultilevel"/>
    <w:tmpl w:val="E8E8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33F5"/>
    <w:multiLevelType w:val="hybridMultilevel"/>
    <w:tmpl w:val="DB48E8CE"/>
    <w:lvl w:ilvl="0" w:tplc="061468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EE60FF"/>
    <w:multiLevelType w:val="hybridMultilevel"/>
    <w:tmpl w:val="DD628596"/>
    <w:lvl w:ilvl="0" w:tplc="78A602AA">
      <w:start w:val="1"/>
      <w:numFmt w:val="bullet"/>
      <w:lvlText w:val="–"/>
      <w:lvlJc w:val="left"/>
      <w:pPr>
        <w:ind w:left="360" w:hanging="360"/>
      </w:pPr>
      <w:rPr>
        <w:rFonts w:ascii="Verdana" w:hAnsi="Verdan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5252FB"/>
    <w:multiLevelType w:val="hybridMultilevel"/>
    <w:tmpl w:val="434286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5E6073"/>
    <w:multiLevelType w:val="hybridMultilevel"/>
    <w:tmpl w:val="D5049680"/>
    <w:lvl w:ilvl="0" w:tplc="61AC717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0FB00E7A"/>
    <w:multiLevelType w:val="hybridMultilevel"/>
    <w:tmpl w:val="8CECD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1D041C"/>
    <w:multiLevelType w:val="hybridMultilevel"/>
    <w:tmpl w:val="E5208D4C"/>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pStyle w:val="NumPar3"/>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5F7D1B"/>
    <w:multiLevelType w:val="hybridMultilevel"/>
    <w:tmpl w:val="0FFC99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A0285A"/>
    <w:multiLevelType w:val="hybridMultilevel"/>
    <w:tmpl w:val="99225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FE040A"/>
    <w:multiLevelType w:val="hybridMultilevel"/>
    <w:tmpl w:val="04D838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CC3EDF"/>
    <w:multiLevelType w:val="hybridMultilevel"/>
    <w:tmpl w:val="8006CD38"/>
    <w:lvl w:ilvl="0" w:tplc="061468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D537C"/>
    <w:multiLevelType w:val="hybridMultilevel"/>
    <w:tmpl w:val="EFCE6E5C"/>
    <w:lvl w:ilvl="0" w:tplc="78A602AA">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31" w:hanging="360"/>
      </w:pPr>
      <w:rPr>
        <w:rFonts w:ascii="Courier New" w:hAnsi="Courier New" w:cs="Courier New" w:hint="default"/>
      </w:rPr>
    </w:lvl>
    <w:lvl w:ilvl="2" w:tplc="08090005" w:tentative="1">
      <w:start w:val="1"/>
      <w:numFmt w:val="bullet"/>
      <w:lvlText w:val=""/>
      <w:lvlJc w:val="left"/>
      <w:pPr>
        <w:ind w:left="589" w:hanging="360"/>
      </w:pPr>
      <w:rPr>
        <w:rFonts w:ascii="Wingdings" w:hAnsi="Wingdings" w:hint="default"/>
      </w:rPr>
    </w:lvl>
    <w:lvl w:ilvl="3" w:tplc="08090001" w:tentative="1">
      <w:start w:val="1"/>
      <w:numFmt w:val="bullet"/>
      <w:lvlText w:val=""/>
      <w:lvlJc w:val="left"/>
      <w:pPr>
        <w:ind w:left="1309" w:hanging="360"/>
      </w:pPr>
      <w:rPr>
        <w:rFonts w:ascii="Symbol" w:hAnsi="Symbol" w:hint="default"/>
      </w:rPr>
    </w:lvl>
    <w:lvl w:ilvl="4" w:tplc="08090003" w:tentative="1">
      <w:start w:val="1"/>
      <w:numFmt w:val="bullet"/>
      <w:lvlText w:val="o"/>
      <w:lvlJc w:val="left"/>
      <w:pPr>
        <w:ind w:left="2029" w:hanging="360"/>
      </w:pPr>
      <w:rPr>
        <w:rFonts w:ascii="Courier New" w:hAnsi="Courier New" w:cs="Courier New" w:hint="default"/>
      </w:rPr>
    </w:lvl>
    <w:lvl w:ilvl="5" w:tplc="08090005" w:tentative="1">
      <w:start w:val="1"/>
      <w:numFmt w:val="bullet"/>
      <w:lvlText w:val=""/>
      <w:lvlJc w:val="left"/>
      <w:pPr>
        <w:ind w:left="2749" w:hanging="360"/>
      </w:pPr>
      <w:rPr>
        <w:rFonts w:ascii="Wingdings" w:hAnsi="Wingdings" w:hint="default"/>
      </w:rPr>
    </w:lvl>
    <w:lvl w:ilvl="6" w:tplc="08090001" w:tentative="1">
      <w:start w:val="1"/>
      <w:numFmt w:val="bullet"/>
      <w:lvlText w:val=""/>
      <w:lvlJc w:val="left"/>
      <w:pPr>
        <w:ind w:left="3469" w:hanging="360"/>
      </w:pPr>
      <w:rPr>
        <w:rFonts w:ascii="Symbol" w:hAnsi="Symbol" w:hint="default"/>
      </w:rPr>
    </w:lvl>
    <w:lvl w:ilvl="7" w:tplc="08090003" w:tentative="1">
      <w:start w:val="1"/>
      <w:numFmt w:val="bullet"/>
      <w:lvlText w:val="o"/>
      <w:lvlJc w:val="left"/>
      <w:pPr>
        <w:ind w:left="4189" w:hanging="360"/>
      </w:pPr>
      <w:rPr>
        <w:rFonts w:ascii="Courier New" w:hAnsi="Courier New" w:cs="Courier New" w:hint="default"/>
      </w:rPr>
    </w:lvl>
    <w:lvl w:ilvl="8" w:tplc="08090005" w:tentative="1">
      <w:start w:val="1"/>
      <w:numFmt w:val="bullet"/>
      <w:lvlText w:val=""/>
      <w:lvlJc w:val="left"/>
      <w:pPr>
        <w:ind w:left="4909" w:hanging="360"/>
      </w:pPr>
      <w:rPr>
        <w:rFonts w:ascii="Wingdings" w:hAnsi="Wingdings" w:hint="default"/>
      </w:rPr>
    </w:lvl>
  </w:abstractNum>
  <w:abstractNum w:abstractNumId="12">
    <w:nsid w:val="20FA501F"/>
    <w:multiLevelType w:val="hybridMultilevel"/>
    <w:tmpl w:val="6DC47AA6"/>
    <w:lvl w:ilvl="0" w:tplc="2B98B3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4A04547"/>
    <w:multiLevelType w:val="hybridMultilevel"/>
    <w:tmpl w:val="D3A4B47A"/>
    <w:lvl w:ilvl="0" w:tplc="061468D8">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4B312B6"/>
    <w:multiLevelType w:val="hybridMultilevel"/>
    <w:tmpl w:val="22F68D1E"/>
    <w:lvl w:ilvl="0" w:tplc="8C6A2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1F123C"/>
    <w:multiLevelType w:val="hybridMultilevel"/>
    <w:tmpl w:val="C02C0A2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D24662"/>
    <w:multiLevelType w:val="hybridMultilevel"/>
    <w:tmpl w:val="16DEB8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7">
    <w:nsid w:val="2BD11A1C"/>
    <w:multiLevelType w:val="hybridMultilevel"/>
    <w:tmpl w:val="4982889A"/>
    <w:lvl w:ilvl="0" w:tplc="061468D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0D31D4"/>
    <w:multiLevelType w:val="hybridMultilevel"/>
    <w:tmpl w:val="61C2C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nsid w:val="2C5A44FC"/>
    <w:multiLevelType w:val="hybridMultilevel"/>
    <w:tmpl w:val="636C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377FA"/>
    <w:multiLevelType w:val="hybridMultilevel"/>
    <w:tmpl w:val="2418FD28"/>
    <w:lvl w:ilvl="0" w:tplc="061468D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F076C74"/>
    <w:multiLevelType w:val="multilevel"/>
    <w:tmpl w:val="EC783D4E"/>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nsid w:val="30154EE6"/>
    <w:multiLevelType w:val="hybridMultilevel"/>
    <w:tmpl w:val="9B9AF5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15848F1"/>
    <w:multiLevelType w:val="hybridMultilevel"/>
    <w:tmpl w:val="23ACD2D6"/>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47E038C"/>
    <w:multiLevelType w:val="hybridMultilevel"/>
    <w:tmpl w:val="D3AE6278"/>
    <w:lvl w:ilvl="0" w:tplc="ED846C16">
      <w:start w:val="1"/>
      <w:numFmt w:val="bullet"/>
      <w:pStyle w:val="LTTBody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nsid w:val="376B407E"/>
    <w:multiLevelType w:val="hybridMultilevel"/>
    <w:tmpl w:val="AD9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C26200"/>
    <w:multiLevelType w:val="hybridMultilevel"/>
    <w:tmpl w:val="DDFC96D4"/>
    <w:lvl w:ilvl="0" w:tplc="EB0CF156">
      <w:numFmt w:val="bullet"/>
      <w:lvlText w:val="-"/>
      <w:lvlJc w:val="left"/>
      <w:pPr>
        <w:ind w:left="720" w:hanging="720"/>
      </w:pPr>
      <w:rPr>
        <w:rFonts w:ascii="Calibri" w:eastAsiaTheme="minorHAns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AEA74D2"/>
    <w:multiLevelType w:val="hybridMultilevel"/>
    <w:tmpl w:val="14F449A4"/>
    <w:lvl w:ilvl="0" w:tplc="EB0CF156">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83223C"/>
    <w:multiLevelType w:val="hybridMultilevel"/>
    <w:tmpl w:val="38BE5736"/>
    <w:lvl w:ilvl="0" w:tplc="8C6A2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D8443D9"/>
    <w:multiLevelType w:val="hybridMultilevel"/>
    <w:tmpl w:val="545E11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3EDE0B92"/>
    <w:multiLevelType w:val="hybridMultilevel"/>
    <w:tmpl w:val="399804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3A308C5"/>
    <w:multiLevelType w:val="hybridMultilevel"/>
    <w:tmpl w:val="6268C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E365B2"/>
    <w:multiLevelType w:val="hybridMultilevel"/>
    <w:tmpl w:val="9E6A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8147E8"/>
    <w:multiLevelType w:val="hybridMultilevel"/>
    <w:tmpl w:val="9A2E5254"/>
    <w:lvl w:ilvl="0" w:tplc="78A602AA">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5">
    <w:nsid w:val="57D36FE2"/>
    <w:multiLevelType w:val="hybridMultilevel"/>
    <w:tmpl w:val="F74E2C84"/>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6">
    <w:nsid w:val="5BD53211"/>
    <w:multiLevelType w:val="hybridMultilevel"/>
    <w:tmpl w:val="207EDFCE"/>
    <w:lvl w:ilvl="0" w:tplc="15884A70">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0E21136"/>
    <w:multiLevelType w:val="multilevel"/>
    <w:tmpl w:val="D236DE1E"/>
    <w:lvl w:ilvl="0">
      <w:start w:val="1"/>
      <w:numFmt w:val="decimal"/>
      <w:pStyle w:val="Heading1"/>
      <w:lvlText w:val="%1."/>
      <w:lvlJc w:val="left"/>
      <w:pPr>
        <w:ind w:left="432" w:hanging="432"/>
      </w:pPr>
    </w:lvl>
    <w:lvl w:ilvl="1">
      <w:start w:val="1"/>
      <w:numFmt w:val="decimal"/>
      <w:pStyle w:val="Heading2"/>
      <w:lvlText w:val="%1.%2"/>
      <w:lvlJc w:val="left"/>
      <w:pPr>
        <w:ind w:left="327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61705F02"/>
    <w:multiLevelType w:val="hybridMultilevel"/>
    <w:tmpl w:val="2DBA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9">
    <w:nsid w:val="691D3F6E"/>
    <w:multiLevelType w:val="hybridMultilevel"/>
    <w:tmpl w:val="22F22B14"/>
    <w:lvl w:ilvl="0" w:tplc="061468D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B3F1D95"/>
    <w:multiLevelType w:val="hybridMultilevel"/>
    <w:tmpl w:val="4358EDCA"/>
    <w:lvl w:ilvl="0" w:tplc="061468D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A61596"/>
    <w:multiLevelType w:val="hybridMultilevel"/>
    <w:tmpl w:val="43488D84"/>
    <w:lvl w:ilvl="0" w:tplc="08090001">
      <w:start w:val="1"/>
      <w:numFmt w:val="bullet"/>
      <w:lvlText w:val=""/>
      <w:lvlJc w:val="left"/>
      <w:pPr>
        <w:ind w:left="360" w:hanging="360"/>
      </w:pPr>
      <w:rPr>
        <w:rFonts w:ascii="Symbol" w:hAnsi="Symbol" w:hint="default"/>
      </w:rPr>
    </w:lvl>
    <w:lvl w:ilvl="1" w:tplc="698A348E">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6F001AD3"/>
    <w:multiLevelType w:val="hybridMultilevel"/>
    <w:tmpl w:val="A5EAB3E0"/>
    <w:lvl w:ilvl="0" w:tplc="061468D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2B566FE"/>
    <w:multiLevelType w:val="hybridMultilevel"/>
    <w:tmpl w:val="B7EE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4">
    <w:nsid w:val="7363782A"/>
    <w:multiLevelType w:val="hybridMultilevel"/>
    <w:tmpl w:val="689CB69E"/>
    <w:lvl w:ilvl="0" w:tplc="8C6A2D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DF4563"/>
    <w:multiLevelType w:val="hybridMultilevel"/>
    <w:tmpl w:val="66867990"/>
    <w:lvl w:ilvl="0" w:tplc="78A602AA">
      <w:start w:val="1"/>
      <w:numFmt w:val="bullet"/>
      <w:lvlText w:val="–"/>
      <w:lvlJc w:val="left"/>
      <w:pPr>
        <w:ind w:left="1211" w:hanging="360"/>
      </w:pPr>
      <w:rPr>
        <w:rFonts w:ascii="Verdana" w:hAnsi="Verdana" w:hint="default"/>
      </w:rPr>
    </w:lvl>
    <w:lvl w:ilvl="1" w:tplc="78A602AA">
      <w:start w:val="1"/>
      <w:numFmt w:val="bullet"/>
      <w:lvlText w:val="–"/>
      <w:lvlJc w:val="left"/>
      <w:pPr>
        <w:ind w:left="1931" w:hanging="360"/>
      </w:pPr>
      <w:rPr>
        <w:rFonts w:ascii="Verdana" w:hAnsi="Verdana"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6">
    <w:nsid w:val="7C1D406F"/>
    <w:multiLevelType w:val="hybridMultilevel"/>
    <w:tmpl w:val="545A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
  </w:num>
  <w:num w:numId="4">
    <w:abstractNumId w:val="37"/>
  </w:num>
  <w:num w:numId="5">
    <w:abstractNumId w:val="16"/>
  </w:num>
  <w:num w:numId="6">
    <w:abstractNumId w:val="19"/>
  </w:num>
  <w:num w:numId="7">
    <w:abstractNumId w:val="17"/>
  </w:num>
  <w:num w:numId="8">
    <w:abstractNumId w:val="20"/>
  </w:num>
  <w:num w:numId="9">
    <w:abstractNumId w:val="39"/>
  </w:num>
  <w:num w:numId="10">
    <w:abstractNumId w:val="13"/>
  </w:num>
  <w:num w:numId="11">
    <w:abstractNumId w:val="45"/>
  </w:num>
  <w:num w:numId="12">
    <w:abstractNumId w:val="3"/>
  </w:num>
  <w:num w:numId="13">
    <w:abstractNumId w:val="8"/>
  </w:num>
  <w:num w:numId="14">
    <w:abstractNumId w:val="5"/>
  </w:num>
  <w:num w:numId="15">
    <w:abstractNumId w:val="11"/>
  </w:num>
  <w:num w:numId="16">
    <w:abstractNumId w:val="22"/>
  </w:num>
  <w:num w:numId="17">
    <w:abstractNumId w:val="33"/>
  </w:num>
  <w:num w:numId="18">
    <w:abstractNumId w:val="46"/>
  </w:num>
  <w:num w:numId="19">
    <w:abstractNumId w:val="27"/>
  </w:num>
  <w:num w:numId="20">
    <w:abstractNumId w:val="26"/>
  </w:num>
  <w:num w:numId="21">
    <w:abstractNumId w:val="23"/>
  </w:num>
  <w:num w:numId="22">
    <w:abstractNumId w:val="42"/>
  </w:num>
  <w:num w:numId="23">
    <w:abstractNumId w:val="2"/>
  </w:num>
  <w:num w:numId="24">
    <w:abstractNumId w:val="4"/>
  </w:num>
  <w:num w:numId="25">
    <w:abstractNumId w:val="32"/>
  </w:num>
  <w:num w:numId="26">
    <w:abstractNumId w:val="38"/>
  </w:num>
  <w:num w:numId="27">
    <w:abstractNumId w:val="38"/>
  </w:num>
  <w:num w:numId="28">
    <w:abstractNumId w:val="29"/>
  </w:num>
  <w:num w:numId="29">
    <w:abstractNumId w:val="12"/>
  </w:num>
  <w:num w:numId="30">
    <w:abstractNumId w:val="34"/>
  </w:num>
  <w:num w:numId="31">
    <w:abstractNumId w:val="24"/>
  </w:num>
  <w:num w:numId="32">
    <w:abstractNumId w:val="30"/>
  </w:num>
  <w:num w:numId="33">
    <w:abstractNumId w:val="35"/>
  </w:num>
  <w:num w:numId="34">
    <w:abstractNumId w:val="43"/>
  </w:num>
  <w:num w:numId="35">
    <w:abstractNumId w:val="18"/>
  </w:num>
  <w:num w:numId="36">
    <w:abstractNumId w:val="36"/>
  </w:num>
  <w:num w:numId="37">
    <w:abstractNumId w:val="9"/>
  </w:num>
  <w:num w:numId="38">
    <w:abstractNumId w:val="15"/>
  </w:num>
  <w:num w:numId="39">
    <w:abstractNumId w:val="0"/>
  </w:num>
  <w:num w:numId="40">
    <w:abstractNumId w:val="7"/>
  </w:num>
  <w:num w:numId="41">
    <w:abstractNumId w:val="28"/>
  </w:num>
  <w:num w:numId="42">
    <w:abstractNumId w:val="44"/>
  </w:num>
  <w:num w:numId="43">
    <w:abstractNumId w:val="25"/>
  </w:num>
  <w:num w:numId="44">
    <w:abstractNumId w:val="1"/>
  </w:num>
  <w:num w:numId="45">
    <w:abstractNumId w:val="10"/>
  </w:num>
  <w:num w:numId="46">
    <w:abstractNumId w:val="40"/>
  </w:num>
  <w:num w:numId="47">
    <w:abstractNumId w:val="40"/>
  </w:num>
  <w:num w:numId="48">
    <w:abstractNumId w:val="31"/>
  </w:num>
  <w:num w:numId="4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LW_CONFIDENCE" w:val=" "/>
    <w:docVar w:name="LW_CONST_RESTREINT_UE" w:val="RESTREINT UE/EU RESTRICTED"/>
    <w:docVar w:name="LW_CORRIGENDUM" w:val="&lt;UNUSED&gt;"/>
    <w:docVar w:name="LW_COVERPAGE_GUID" w:val="16689E29718A40E780EFFC1486412425"/>
    <w:docVar w:name="LW_CROSSREFERENCE" w:val="&lt;UNUSED&gt;"/>
    <w:docVar w:name="LW_DocType" w:val="NORMAL"/>
    <w:docVar w:name="LW_EMISSION" w:val="16.3.2016"/>
    <w:docVar w:name="LW_EMISSION_ISODATE" w:val="2016-03-16"/>
    <w:docVar w:name="LW_EMISSION_LOCATION" w:val="BRX"/>
    <w:docVar w:name="LW_EMISSION_PREFIX" w:val="Brussels, "/>
    <w:docVar w:name="LW_EMISSION_SUFFIX" w:val=" "/>
    <w:docVar w:name="LW_ID_DOCTYPE_NONLW" w:val="CP-009"/>
    <w:docVar w:name="LW_LANGUE" w:val="EN"/>
    <w:docVar w:name="LW_MARKING" w:val="&lt;UNUSED&gt;"/>
    <w:docVar w:name="LW_NOM.INST" w:val="EUROPEAN COMMISSION"/>
    <w:docVar w:name="LW_NOM.INST_JOINTDOC" w:val="&lt;EMPTY&gt;"/>
    <w:docVar w:name="LW_PART_NBR" w:val="1"/>
    <w:docVar w:name="LW_PART_NBR_TOTAL" w:val="1"/>
    <w:docVar w:name="LW_REF.INST.NEW" w:val="COM"/>
    <w:docVar w:name="LW_REF.INST.NEW_ADOPTED" w:val="&lt;EMPTY&gt;"/>
    <w:docVar w:name="LW_REF.INST.NEW_TEXT" w:val="(2016) 155 final"/>
    <w:docVar w:name="LW_REF.INTERNE" w:val="&lt;UNUSED&gt;"/>
    <w:docVar w:name="LW_SOUS.TITRE.OBJ.CP" w:val="&lt;UNUSED&gt;"/>
    <w:docVar w:name="LW_SUPERTITRE" w:val="&lt;UNUSED&gt;"/>
    <w:docVar w:name="LW_TITRE.OBJ.CP" w:val="Steel: Preserving sustainable jobs and growth in Europe"/>
    <w:docVar w:name="LW_TYPE.DOC.CP" w:val="COMMUNICATION FROM THE COMMISSION"/>
    <w:docVar w:name="LW_TYPE.DOC.CP.USERTEXT" w:val="TO THE EUROPEAN PARLIAMENT, THE EUROPEAN COUNCIL, THE COUNCIL, THE EUROPEAN ECONOMIC AND SOCIAL COMMITTEE, THE COMMITTEE OF THE REGIONS AND THE EUROPEAN INVESTMENT BANK"/>
  </w:docVars>
  <w:rsids>
    <w:rsidRoot w:val="0015587A"/>
    <w:rsid w:val="00000261"/>
    <w:rsid w:val="000010C1"/>
    <w:rsid w:val="000017B7"/>
    <w:rsid w:val="00004FEB"/>
    <w:rsid w:val="0000520B"/>
    <w:rsid w:val="00005F20"/>
    <w:rsid w:val="00006526"/>
    <w:rsid w:val="00006702"/>
    <w:rsid w:val="00006A29"/>
    <w:rsid w:val="00006FAE"/>
    <w:rsid w:val="00007FB9"/>
    <w:rsid w:val="00010366"/>
    <w:rsid w:val="00010C0E"/>
    <w:rsid w:val="000111F2"/>
    <w:rsid w:val="00013C5C"/>
    <w:rsid w:val="00014004"/>
    <w:rsid w:val="00015615"/>
    <w:rsid w:val="000166B5"/>
    <w:rsid w:val="0001695B"/>
    <w:rsid w:val="00016C7D"/>
    <w:rsid w:val="00016D43"/>
    <w:rsid w:val="00017227"/>
    <w:rsid w:val="00017A2E"/>
    <w:rsid w:val="00022457"/>
    <w:rsid w:val="000242BA"/>
    <w:rsid w:val="000245F7"/>
    <w:rsid w:val="00024E2F"/>
    <w:rsid w:val="00024E61"/>
    <w:rsid w:val="0002549E"/>
    <w:rsid w:val="000261BF"/>
    <w:rsid w:val="00026767"/>
    <w:rsid w:val="000277BD"/>
    <w:rsid w:val="00027CA3"/>
    <w:rsid w:val="00030103"/>
    <w:rsid w:val="000305EB"/>
    <w:rsid w:val="00032572"/>
    <w:rsid w:val="000342BA"/>
    <w:rsid w:val="000353F5"/>
    <w:rsid w:val="000355BF"/>
    <w:rsid w:val="00035A86"/>
    <w:rsid w:val="00036794"/>
    <w:rsid w:val="00037BA1"/>
    <w:rsid w:val="00037E12"/>
    <w:rsid w:val="000408CA"/>
    <w:rsid w:val="00041255"/>
    <w:rsid w:val="00041442"/>
    <w:rsid w:val="00041D49"/>
    <w:rsid w:val="00042B32"/>
    <w:rsid w:val="00043789"/>
    <w:rsid w:val="00043C97"/>
    <w:rsid w:val="00043E15"/>
    <w:rsid w:val="00043FAA"/>
    <w:rsid w:val="00044090"/>
    <w:rsid w:val="00044A68"/>
    <w:rsid w:val="000452AC"/>
    <w:rsid w:val="00045490"/>
    <w:rsid w:val="00045EFA"/>
    <w:rsid w:val="00046115"/>
    <w:rsid w:val="00046D5D"/>
    <w:rsid w:val="00047055"/>
    <w:rsid w:val="000472CB"/>
    <w:rsid w:val="000479F4"/>
    <w:rsid w:val="000500A6"/>
    <w:rsid w:val="00050659"/>
    <w:rsid w:val="0005254B"/>
    <w:rsid w:val="00054FA8"/>
    <w:rsid w:val="00055877"/>
    <w:rsid w:val="00055EAA"/>
    <w:rsid w:val="0005729B"/>
    <w:rsid w:val="00060C62"/>
    <w:rsid w:val="00060C7C"/>
    <w:rsid w:val="00060F52"/>
    <w:rsid w:val="000611EF"/>
    <w:rsid w:val="0006158E"/>
    <w:rsid w:val="000619E7"/>
    <w:rsid w:val="00061F3F"/>
    <w:rsid w:val="00062867"/>
    <w:rsid w:val="0006326A"/>
    <w:rsid w:val="00063D52"/>
    <w:rsid w:val="0006466D"/>
    <w:rsid w:val="00064F03"/>
    <w:rsid w:val="00065D09"/>
    <w:rsid w:val="00065D9C"/>
    <w:rsid w:val="00065DF8"/>
    <w:rsid w:val="0006603E"/>
    <w:rsid w:val="0006620C"/>
    <w:rsid w:val="00066A25"/>
    <w:rsid w:val="0007161A"/>
    <w:rsid w:val="00071AE3"/>
    <w:rsid w:val="00072147"/>
    <w:rsid w:val="000724D9"/>
    <w:rsid w:val="0007295F"/>
    <w:rsid w:val="00072B70"/>
    <w:rsid w:val="00072D8C"/>
    <w:rsid w:val="000772F8"/>
    <w:rsid w:val="0008033F"/>
    <w:rsid w:val="000803D3"/>
    <w:rsid w:val="00081528"/>
    <w:rsid w:val="0008166D"/>
    <w:rsid w:val="0008172F"/>
    <w:rsid w:val="00081D40"/>
    <w:rsid w:val="000830A8"/>
    <w:rsid w:val="00084EA4"/>
    <w:rsid w:val="0008546F"/>
    <w:rsid w:val="00085D18"/>
    <w:rsid w:val="00087691"/>
    <w:rsid w:val="000906BB"/>
    <w:rsid w:val="00092E74"/>
    <w:rsid w:val="00094A10"/>
    <w:rsid w:val="00095A40"/>
    <w:rsid w:val="00096CAC"/>
    <w:rsid w:val="000A0145"/>
    <w:rsid w:val="000A14C6"/>
    <w:rsid w:val="000A1CCF"/>
    <w:rsid w:val="000A1CD3"/>
    <w:rsid w:val="000A2B8A"/>
    <w:rsid w:val="000A3373"/>
    <w:rsid w:val="000A3712"/>
    <w:rsid w:val="000A6421"/>
    <w:rsid w:val="000A6CB9"/>
    <w:rsid w:val="000A6CCD"/>
    <w:rsid w:val="000B05A2"/>
    <w:rsid w:val="000B1AC2"/>
    <w:rsid w:val="000B2092"/>
    <w:rsid w:val="000B301E"/>
    <w:rsid w:val="000B465F"/>
    <w:rsid w:val="000B5123"/>
    <w:rsid w:val="000B6930"/>
    <w:rsid w:val="000B6D45"/>
    <w:rsid w:val="000C0799"/>
    <w:rsid w:val="000C07D6"/>
    <w:rsid w:val="000C53AB"/>
    <w:rsid w:val="000C5F25"/>
    <w:rsid w:val="000C6302"/>
    <w:rsid w:val="000C701D"/>
    <w:rsid w:val="000C7944"/>
    <w:rsid w:val="000D060C"/>
    <w:rsid w:val="000D0AE3"/>
    <w:rsid w:val="000D30DE"/>
    <w:rsid w:val="000D349F"/>
    <w:rsid w:val="000D35E2"/>
    <w:rsid w:val="000D3CE8"/>
    <w:rsid w:val="000D58D1"/>
    <w:rsid w:val="000D662C"/>
    <w:rsid w:val="000D6BEE"/>
    <w:rsid w:val="000D72DF"/>
    <w:rsid w:val="000D73B8"/>
    <w:rsid w:val="000D7CCA"/>
    <w:rsid w:val="000E024B"/>
    <w:rsid w:val="000E0889"/>
    <w:rsid w:val="000E0985"/>
    <w:rsid w:val="000E1140"/>
    <w:rsid w:val="000E126B"/>
    <w:rsid w:val="000E2B69"/>
    <w:rsid w:val="000E3328"/>
    <w:rsid w:val="000E3F7B"/>
    <w:rsid w:val="000E4547"/>
    <w:rsid w:val="000E487E"/>
    <w:rsid w:val="000E62F3"/>
    <w:rsid w:val="000E72A0"/>
    <w:rsid w:val="000E7CD7"/>
    <w:rsid w:val="000F12BD"/>
    <w:rsid w:val="000F1321"/>
    <w:rsid w:val="000F13FB"/>
    <w:rsid w:val="000F180B"/>
    <w:rsid w:val="000F33A1"/>
    <w:rsid w:val="000F69D2"/>
    <w:rsid w:val="000F7169"/>
    <w:rsid w:val="000F7A84"/>
    <w:rsid w:val="000F7E92"/>
    <w:rsid w:val="00101CAA"/>
    <w:rsid w:val="00101EC1"/>
    <w:rsid w:val="001026FB"/>
    <w:rsid w:val="001032F8"/>
    <w:rsid w:val="00103301"/>
    <w:rsid w:val="00103D23"/>
    <w:rsid w:val="00103D80"/>
    <w:rsid w:val="00104524"/>
    <w:rsid w:val="001057F7"/>
    <w:rsid w:val="00106F04"/>
    <w:rsid w:val="00107885"/>
    <w:rsid w:val="00113D9B"/>
    <w:rsid w:val="00114D7A"/>
    <w:rsid w:val="00114DD9"/>
    <w:rsid w:val="0011506C"/>
    <w:rsid w:val="0011594E"/>
    <w:rsid w:val="0011788F"/>
    <w:rsid w:val="00117D33"/>
    <w:rsid w:val="001200EB"/>
    <w:rsid w:val="001227F2"/>
    <w:rsid w:val="00123813"/>
    <w:rsid w:val="00123B35"/>
    <w:rsid w:val="00123E6D"/>
    <w:rsid w:val="00123EC5"/>
    <w:rsid w:val="00124277"/>
    <w:rsid w:val="00125067"/>
    <w:rsid w:val="00125B9E"/>
    <w:rsid w:val="0012616A"/>
    <w:rsid w:val="001271FD"/>
    <w:rsid w:val="00130943"/>
    <w:rsid w:val="00130B53"/>
    <w:rsid w:val="00132738"/>
    <w:rsid w:val="00133BDF"/>
    <w:rsid w:val="00133EFD"/>
    <w:rsid w:val="00134165"/>
    <w:rsid w:val="00134D0F"/>
    <w:rsid w:val="00135578"/>
    <w:rsid w:val="00135F49"/>
    <w:rsid w:val="00137AA8"/>
    <w:rsid w:val="001410F2"/>
    <w:rsid w:val="0014245E"/>
    <w:rsid w:val="00143484"/>
    <w:rsid w:val="0014791A"/>
    <w:rsid w:val="00147D69"/>
    <w:rsid w:val="00151AB4"/>
    <w:rsid w:val="0015335C"/>
    <w:rsid w:val="00154B33"/>
    <w:rsid w:val="001556BA"/>
    <w:rsid w:val="0015587A"/>
    <w:rsid w:val="0015655B"/>
    <w:rsid w:val="00156CA8"/>
    <w:rsid w:val="00156F79"/>
    <w:rsid w:val="00157281"/>
    <w:rsid w:val="00157B60"/>
    <w:rsid w:val="00161883"/>
    <w:rsid w:val="001630FC"/>
    <w:rsid w:val="001642D9"/>
    <w:rsid w:val="00165D87"/>
    <w:rsid w:val="00166151"/>
    <w:rsid w:val="00167C17"/>
    <w:rsid w:val="00167E02"/>
    <w:rsid w:val="00167E95"/>
    <w:rsid w:val="001702B6"/>
    <w:rsid w:val="001710BA"/>
    <w:rsid w:val="00171133"/>
    <w:rsid w:val="00173418"/>
    <w:rsid w:val="0017368C"/>
    <w:rsid w:val="0017436B"/>
    <w:rsid w:val="001746EE"/>
    <w:rsid w:val="001760D9"/>
    <w:rsid w:val="00177260"/>
    <w:rsid w:val="001773F2"/>
    <w:rsid w:val="00177EB3"/>
    <w:rsid w:val="00180002"/>
    <w:rsid w:val="001804C8"/>
    <w:rsid w:val="00182854"/>
    <w:rsid w:val="00182F1E"/>
    <w:rsid w:val="001838EC"/>
    <w:rsid w:val="00183A60"/>
    <w:rsid w:val="001851AF"/>
    <w:rsid w:val="0018775D"/>
    <w:rsid w:val="001878E6"/>
    <w:rsid w:val="00190867"/>
    <w:rsid w:val="0019136C"/>
    <w:rsid w:val="001914B7"/>
    <w:rsid w:val="00192D6E"/>
    <w:rsid w:val="001957C2"/>
    <w:rsid w:val="00196655"/>
    <w:rsid w:val="0019667E"/>
    <w:rsid w:val="0019694C"/>
    <w:rsid w:val="00197B25"/>
    <w:rsid w:val="00197CCF"/>
    <w:rsid w:val="00197FDF"/>
    <w:rsid w:val="001A009A"/>
    <w:rsid w:val="001A068D"/>
    <w:rsid w:val="001A07C7"/>
    <w:rsid w:val="001A1176"/>
    <w:rsid w:val="001A15B7"/>
    <w:rsid w:val="001A2A24"/>
    <w:rsid w:val="001A4F64"/>
    <w:rsid w:val="001A70A6"/>
    <w:rsid w:val="001A71D9"/>
    <w:rsid w:val="001B1B6B"/>
    <w:rsid w:val="001B2735"/>
    <w:rsid w:val="001B2F8B"/>
    <w:rsid w:val="001B5326"/>
    <w:rsid w:val="001B76FC"/>
    <w:rsid w:val="001B7E77"/>
    <w:rsid w:val="001C0C45"/>
    <w:rsid w:val="001C27CC"/>
    <w:rsid w:val="001C2D4A"/>
    <w:rsid w:val="001C2E38"/>
    <w:rsid w:val="001C3066"/>
    <w:rsid w:val="001C30A0"/>
    <w:rsid w:val="001C4318"/>
    <w:rsid w:val="001C4F85"/>
    <w:rsid w:val="001C50E9"/>
    <w:rsid w:val="001C52AD"/>
    <w:rsid w:val="001C5741"/>
    <w:rsid w:val="001C6108"/>
    <w:rsid w:val="001C7102"/>
    <w:rsid w:val="001C7325"/>
    <w:rsid w:val="001D1403"/>
    <w:rsid w:val="001D1FA2"/>
    <w:rsid w:val="001D22D7"/>
    <w:rsid w:val="001D40A0"/>
    <w:rsid w:val="001D4933"/>
    <w:rsid w:val="001D4A4C"/>
    <w:rsid w:val="001D4A9C"/>
    <w:rsid w:val="001D61E2"/>
    <w:rsid w:val="001D6FF1"/>
    <w:rsid w:val="001D7404"/>
    <w:rsid w:val="001D76C5"/>
    <w:rsid w:val="001E09A2"/>
    <w:rsid w:val="001E0B2C"/>
    <w:rsid w:val="001E14B0"/>
    <w:rsid w:val="001E24D9"/>
    <w:rsid w:val="001E290E"/>
    <w:rsid w:val="001E3440"/>
    <w:rsid w:val="001E4016"/>
    <w:rsid w:val="001E41C0"/>
    <w:rsid w:val="001E49DD"/>
    <w:rsid w:val="001E4C8F"/>
    <w:rsid w:val="001E4D39"/>
    <w:rsid w:val="001E55BA"/>
    <w:rsid w:val="001E5D27"/>
    <w:rsid w:val="001E6141"/>
    <w:rsid w:val="001F0B91"/>
    <w:rsid w:val="001F1262"/>
    <w:rsid w:val="001F180E"/>
    <w:rsid w:val="001F3047"/>
    <w:rsid w:val="001F310E"/>
    <w:rsid w:val="001F3B00"/>
    <w:rsid w:val="001F64D5"/>
    <w:rsid w:val="001F7C72"/>
    <w:rsid w:val="002000FD"/>
    <w:rsid w:val="00200E56"/>
    <w:rsid w:val="002010F0"/>
    <w:rsid w:val="002021ED"/>
    <w:rsid w:val="0020247E"/>
    <w:rsid w:val="00203AFC"/>
    <w:rsid w:val="00204E30"/>
    <w:rsid w:val="00205960"/>
    <w:rsid w:val="00205FE0"/>
    <w:rsid w:val="002068AB"/>
    <w:rsid w:val="00207779"/>
    <w:rsid w:val="00210819"/>
    <w:rsid w:val="00213672"/>
    <w:rsid w:val="00213E20"/>
    <w:rsid w:val="00213EC7"/>
    <w:rsid w:val="00214B25"/>
    <w:rsid w:val="00214D0F"/>
    <w:rsid w:val="00214DA2"/>
    <w:rsid w:val="00215EC0"/>
    <w:rsid w:val="00216116"/>
    <w:rsid w:val="0021660F"/>
    <w:rsid w:val="00216F04"/>
    <w:rsid w:val="00217A87"/>
    <w:rsid w:val="00217EB3"/>
    <w:rsid w:val="00220309"/>
    <w:rsid w:val="00221E5D"/>
    <w:rsid w:val="002243B3"/>
    <w:rsid w:val="00224A80"/>
    <w:rsid w:val="00225628"/>
    <w:rsid w:val="002258CF"/>
    <w:rsid w:val="00225B2A"/>
    <w:rsid w:val="002264C4"/>
    <w:rsid w:val="00226A91"/>
    <w:rsid w:val="002270D1"/>
    <w:rsid w:val="0022768A"/>
    <w:rsid w:val="00231B9B"/>
    <w:rsid w:val="00231EE7"/>
    <w:rsid w:val="0023269B"/>
    <w:rsid w:val="002333C7"/>
    <w:rsid w:val="00233949"/>
    <w:rsid w:val="0023397C"/>
    <w:rsid w:val="00234553"/>
    <w:rsid w:val="00234DF8"/>
    <w:rsid w:val="00234F17"/>
    <w:rsid w:val="00236155"/>
    <w:rsid w:val="002365F6"/>
    <w:rsid w:val="002374F1"/>
    <w:rsid w:val="002377AA"/>
    <w:rsid w:val="00240103"/>
    <w:rsid w:val="00240C70"/>
    <w:rsid w:val="002412CE"/>
    <w:rsid w:val="00241625"/>
    <w:rsid w:val="00242DD2"/>
    <w:rsid w:val="002439A5"/>
    <w:rsid w:val="002439F4"/>
    <w:rsid w:val="00243E47"/>
    <w:rsid w:val="00244BE9"/>
    <w:rsid w:val="00246E89"/>
    <w:rsid w:val="00247482"/>
    <w:rsid w:val="00247A72"/>
    <w:rsid w:val="00247B72"/>
    <w:rsid w:val="0025087A"/>
    <w:rsid w:val="002510D3"/>
    <w:rsid w:val="002522FB"/>
    <w:rsid w:val="00254054"/>
    <w:rsid w:val="00254666"/>
    <w:rsid w:val="00257E84"/>
    <w:rsid w:val="00260B6E"/>
    <w:rsid w:val="002612C5"/>
    <w:rsid w:val="002621B6"/>
    <w:rsid w:val="00262A13"/>
    <w:rsid w:val="00262DBD"/>
    <w:rsid w:val="00263A07"/>
    <w:rsid w:val="002642C7"/>
    <w:rsid w:val="002657D0"/>
    <w:rsid w:val="00265C7D"/>
    <w:rsid w:val="00266976"/>
    <w:rsid w:val="00266DE8"/>
    <w:rsid w:val="00270C52"/>
    <w:rsid w:val="00271235"/>
    <w:rsid w:val="00271332"/>
    <w:rsid w:val="00271621"/>
    <w:rsid w:val="00271B2F"/>
    <w:rsid w:val="00274376"/>
    <w:rsid w:val="002749A7"/>
    <w:rsid w:val="00274B78"/>
    <w:rsid w:val="00275317"/>
    <w:rsid w:val="00275EE1"/>
    <w:rsid w:val="00276E38"/>
    <w:rsid w:val="002772CC"/>
    <w:rsid w:val="002774E2"/>
    <w:rsid w:val="00277931"/>
    <w:rsid w:val="00280ABF"/>
    <w:rsid w:val="00280C84"/>
    <w:rsid w:val="00280CEE"/>
    <w:rsid w:val="0028135B"/>
    <w:rsid w:val="00281368"/>
    <w:rsid w:val="00281707"/>
    <w:rsid w:val="00281A43"/>
    <w:rsid w:val="00281B50"/>
    <w:rsid w:val="00282F4F"/>
    <w:rsid w:val="00283029"/>
    <w:rsid w:val="00283644"/>
    <w:rsid w:val="00283998"/>
    <w:rsid w:val="00283A5C"/>
    <w:rsid w:val="00284AD6"/>
    <w:rsid w:val="00287884"/>
    <w:rsid w:val="00291539"/>
    <w:rsid w:val="002918E9"/>
    <w:rsid w:val="0029271A"/>
    <w:rsid w:val="0029318A"/>
    <w:rsid w:val="00293CA1"/>
    <w:rsid w:val="00294328"/>
    <w:rsid w:val="00294345"/>
    <w:rsid w:val="00294405"/>
    <w:rsid w:val="0029448C"/>
    <w:rsid w:val="00295F87"/>
    <w:rsid w:val="002968B4"/>
    <w:rsid w:val="00297E74"/>
    <w:rsid w:val="00297FC8"/>
    <w:rsid w:val="002A0E6E"/>
    <w:rsid w:val="002A1405"/>
    <w:rsid w:val="002A191C"/>
    <w:rsid w:val="002A32A7"/>
    <w:rsid w:val="002A32EA"/>
    <w:rsid w:val="002A3FF2"/>
    <w:rsid w:val="002A577F"/>
    <w:rsid w:val="002A57BD"/>
    <w:rsid w:val="002A62FA"/>
    <w:rsid w:val="002A7251"/>
    <w:rsid w:val="002A7265"/>
    <w:rsid w:val="002A7D97"/>
    <w:rsid w:val="002B0C49"/>
    <w:rsid w:val="002B1783"/>
    <w:rsid w:val="002B250B"/>
    <w:rsid w:val="002B2EAC"/>
    <w:rsid w:val="002B335B"/>
    <w:rsid w:val="002B3929"/>
    <w:rsid w:val="002B3B45"/>
    <w:rsid w:val="002B44E1"/>
    <w:rsid w:val="002B4717"/>
    <w:rsid w:val="002B47C2"/>
    <w:rsid w:val="002B4979"/>
    <w:rsid w:val="002B50E9"/>
    <w:rsid w:val="002B5566"/>
    <w:rsid w:val="002B5A76"/>
    <w:rsid w:val="002B6308"/>
    <w:rsid w:val="002B6419"/>
    <w:rsid w:val="002B6908"/>
    <w:rsid w:val="002B7877"/>
    <w:rsid w:val="002C1C44"/>
    <w:rsid w:val="002C1E8A"/>
    <w:rsid w:val="002C203E"/>
    <w:rsid w:val="002C27F1"/>
    <w:rsid w:val="002C2881"/>
    <w:rsid w:val="002C5AF2"/>
    <w:rsid w:val="002C6C89"/>
    <w:rsid w:val="002C6CC8"/>
    <w:rsid w:val="002D0237"/>
    <w:rsid w:val="002D0313"/>
    <w:rsid w:val="002D1B93"/>
    <w:rsid w:val="002D21E1"/>
    <w:rsid w:val="002D4260"/>
    <w:rsid w:val="002D47FA"/>
    <w:rsid w:val="002D4A5F"/>
    <w:rsid w:val="002D4C63"/>
    <w:rsid w:val="002D5A13"/>
    <w:rsid w:val="002D74CA"/>
    <w:rsid w:val="002D76B4"/>
    <w:rsid w:val="002D7702"/>
    <w:rsid w:val="002E0C7C"/>
    <w:rsid w:val="002E1D1E"/>
    <w:rsid w:val="002E2151"/>
    <w:rsid w:val="002E417F"/>
    <w:rsid w:val="002E5117"/>
    <w:rsid w:val="002E5990"/>
    <w:rsid w:val="002E690F"/>
    <w:rsid w:val="002E6C7A"/>
    <w:rsid w:val="002E731A"/>
    <w:rsid w:val="002E7A54"/>
    <w:rsid w:val="002E7EEF"/>
    <w:rsid w:val="002F1F5B"/>
    <w:rsid w:val="002F2FC6"/>
    <w:rsid w:val="002F36CD"/>
    <w:rsid w:val="002F4595"/>
    <w:rsid w:val="002F5EF7"/>
    <w:rsid w:val="002F6C06"/>
    <w:rsid w:val="002F6F88"/>
    <w:rsid w:val="003008A7"/>
    <w:rsid w:val="003015EA"/>
    <w:rsid w:val="00303492"/>
    <w:rsid w:val="00303C33"/>
    <w:rsid w:val="003042D1"/>
    <w:rsid w:val="0030439D"/>
    <w:rsid w:val="00304D0B"/>
    <w:rsid w:val="0030538A"/>
    <w:rsid w:val="00305C2B"/>
    <w:rsid w:val="00306007"/>
    <w:rsid w:val="003073E3"/>
    <w:rsid w:val="00307FBA"/>
    <w:rsid w:val="00310583"/>
    <w:rsid w:val="00310A26"/>
    <w:rsid w:val="003115D4"/>
    <w:rsid w:val="00312BA0"/>
    <w:rsid w:val="00312EFD"/>
    <w:rsid w:val="00313DDE"/>
    <w:rsid w:val="00314542"/>
    <w:rsid w:val="003147A9"/>
    <w:rsid w:val="0031633F"/>
    <w:rsid w:val="00316A00"/>
    <w:rsid w:val="003213E4"/>
    <w:rsid w:val="0032149B"/>
    <w:rsid w:val="003227BC"/>
    <w:rsid w:val="00322886"/>
    <w:rsid w:val="00322CCA"/>
    <w:rsid w:val="00323372"/>
    <w:rsid w:val="00323A81"/>
    <w:rsid w:val="00323C74"/>
    <w:rsid w:val="0032404A"/>
    <w:rsid w:val="00324523"/>
    <w:rsid w:val="003270ED"/>
    <w:rsid w:val="00330CA1"/>
    <w:rsid w:val="00332AB0"/>
    <w:rsid w:val="00333164"/>
    <w:rsid w:val="00336F09"/>
    <w:rsid w:val="003376F7"/>
    <w:rsid w:val="00342B46"/>
    <w:rsid w:val="003433AC"/>
    <w:rsid w:val="0034445C"/>
    <w:rsid w:val="00345594"/>
    <w:rsid w:val="00347CF7"/>
    <w:rsid w:val="00350437"/>
    <w:rsid w:val="003508C9"/>
    <w:rsid w:val="00350ACA"/>
    <w:rsid w:val="00351D7A"/>
    <w:rsid w:val="00352AF5"/>
    <w:rsid w:val="003549FA"/>
    <w:rsid w:val="0035501D"/>
    <w:rsid w:val="00355656"/>
    <w:rsid w:val="00356CC1"/>
    <w:rsid w:val="00357129"/>
    <w:rsid w:val="00360D0A"/>
    <w:rsid w:val="00360D5E"/>
    <w:rsid w:val="00361CC5"/>
    <w:rsid w:val="00361E7A"/>
    <w:rsid w:val="00363054"/>
    <w:rsid w:val="00364D61"/>
    <w:rsid w:val="00364D80"/>
    <w:rsid w:val="00365AC4"/>
    <w:rsid w:val="0036600A"/>
    <w:rsid w:val="003664EE"/>
    <w:rsid w:val="00366F0D"/>
    <w:rsid w:val="003677CE"/>
    <w:rsid w:val="00367F0B"/>
    <w:rsid w:val="00370891"/>
    <w:rsid w:val="00370C6B"/>
    <w:rsid w:val="003710BA"/>
    <w:rsid w:val="003723A1"/>
    <w:rsid w:val="0037321F"/>
    <w:rsid w:val="00374AA3"/>
    <w:rsid w:val="00375166"/>
    <w:rsid w:val="00375B05"/>
    <w:rsid w:val="00376F16"/>
    <w:rsid w:val="003777E5"/>
    <w:rsid w:val="00380191"/>
    <w:rsid w:val="00380BAA"/>
    <w:rsid w:val="00380DDA"/>
    <w:rsid w:val="00382378"/>
    <w:rsid w:val="00382E20"/>
    <w:rsid w:val="00382E67"/>
    <w:rsid w:val="00382F89"/>
    <w:rsid w:val="00383695"/>
    <w:rsid w:val="00383FBB"/>
    <w:rsid w:val="00384440"/>
    <w:rsid w:val="003845FC"/>
    <w:rsid w:val="003856E7"/>
    <w:rsid w:val="00386C0D"/>
    <w:rsid w:val="0038798D"/>
    <w:rsid w:val="0039174D"/>
    <w:rsid w:val="00392C5F"/>
    <w:rsid w:val="00392D2A"/>
    <w:rsid w:val="00392EF4"/>
    <w:rsid w:val="003946EA"/>
    <w:rsid w:val="00395B78"/>
    <w:rsid w:val="00395CFC"/>
    <w:rsid w:val="00396120"/>
    <w:rsid w:val="0039625C"/>
    <w:rsid w:val="00396CFF"/>
    <w:rsid w:val="0039734C"/>
    <w:rsid w:val="003A00CA"/>
    <w:rsid w:val="003A0637"/>
    <w:rsid w:val="003A15A5"/>
    <w:rsid w:val="003A1928"/>
    <w:rsid w:val="003A2C23"/>
    <w:rsid w:val="003A3739"/>
    <w:rsid w:val="003A3747"/>
    <w:rsid w:val="003A6A37"/>
    <w:rsid w:val="003A6CD8"/>
    <w:rsid w:val="003A6F48"/>
    <w:rsid w:val="003B22D7"/>
    <w:rsid w:val="003B2773"/>
    <w:rsid w:val="003B2F74"/>
    <w:rsid w:val="003B40AB"/>
    <w:rsid w:val="003B4183"/>
    <w:rsid w:val="003B50E7"/>
    <w:rsid w:val="003B6387"/>
    <w:rsid w:val="003B6FAE"/>
    <w:rsid w:val="003B7035"/>
    <w:rsid w:val="003B78BA"/>
    <w:rsid w:val="003B7B10"/>
    <w:rsid w:val="003C0EF1"/>
    <w:rsid w:val="003C11AB"/>
    <w:rsid w:val="003C19B1"/>
    <w:rsid w:val="003C3C4D"/>
    <w:rsid w:val="003C4B0F"/>
    <w:rsid w:val="003C6FEA"/>
    <w:rsid w:val="003C7091"/>
    <w:rsid w:val="003C755C"/>
    <w:rsid w:val="003D08E7"/>
    <w:rsid w:val="003D09AB"/>
    <w:rsid w:val="003D143E"/>
    <w:rsid w:val="003D14BC"/>
    <w:rsid w:val="003D1E55"/>
    <w:rsid w:val="003D23EF"/>
    <w:rsid w:val="003D2884"/>
    <w:rsid w:val="003D2AA0"/>
    <w:rsid w:val="003D4C51"/>
    <w:rsid w:val="003D4CF7"/>
    <w:rsid w:val="003D4E8A"/>
    <w:rsid w:val="003D5315"/>
    <w:rsid w:val="003D5C14"/>
    <w:rsid w:val="003D5FA5"/>
    <w:rsid w:val="003D63C6"/>
    <w:rsid w:val="003D65E0"/>
    <w:rsid w:val="003D7BCF"/>
    <w:rsid w:val="003D7CAD"/>
    <w:rsid w:val="003E01B9"/>
    <w:rsid w:val="003E0C1B"/>
    <w:rsid w:val="003E1215"/>
    <w:rsid w:val="003E15C5"/>
    <w:rsid w:val="003E3DBA"/>
    <w:rsid w:val="003E41FC"/>
    <w:rsid w:val="003E4640"/>
    <w:rsid w:val="003E497A"/>
    <w:rsid w:val="003E4AE5"/>
    <w:rsid w:val="003F1087"/>
    <w:rsid w:val="003F1C6C"/>
    <w:rsid w:val="003F2F03"/>
    <w:rsid w:val="003F35B3"/>
    <w:rsid w:val="003F3CE4"/>
    <w:rsid w:val="003F4026"/>
    <w:rsid w:val="003F4233"/>
    <w:rsid w:val="003F42CC"/>
    <w:rsid w:val="003F61D7"/>
    <w:rsid w:val="003F72DC"/>
    <w:rsid w:val="003F77E7"/>
    <w:rsid w:val="00400064"/>
    <w:rsid w:val="004000C3"/>
    <w:rsid w:val="00401620"/>
    <w:rsid w:val="0040173F"/>
    <w:rsid w:val="00404010"/>
    <w:rsid w:val="00406B14"/>
    <w:rsid w:val="00406EFA"/>
    <w:rsid w:val="004107EB"/>
    <w:rsid w:val="0041144D"/>
    <w:rsid w:val="004116EB"/>
    <w:rsid w:val="004117ED"/>
    <w:rsid w:val="004119AA"/>
    <w:rsid w:val="00412C29"/>
    <w:rsid w:val="0041371F"/>
    <w:rsid w:val="004146B1"/>
    <w:rsid w:val="0041564F"/>
    <w:rsid w:val="00416973"/>
    <w:rsid w:val="00416B27"/>
    <w:rsid w:val="00416D17"/>
    <w:rsid w:val="0041746D"/>
    <w:rsid w:val="004175E1"/>
    <w:rsid w:val="00417F57"/>
    <w:rsid w:val="00420EB7"/>
    <w:rsid w:val="00420FBD"/>
    <w:rsid w:val="00421F1C"/>
    <w:rsid w:val="00422A16"/>
    <w:rsid w:val="004230FA"/>
    <w:rsid w:val="00423F17"/>
    <w:rsid w:val="004245CE"/>
    <w:rsid w:val="0042625D"/>
    <w:rsid w:val="00427038"/>
    <w:rsid w:val="00427C13"/>
    <w:rsid w:val="0043024A"/>
    <w:rsid w:val="004312A1"/>
    <w:rsid w:val="00432538"/>
    <w:rsid w:val="00433611"/>
    <w:rsid w:val="004340D8"/>
    <w:rsid w:val="00435205"/>
    <w:rsid w:val="00435430"/>
    <w:rsid w:val="00435660"/>
    <w:rsid w:val="004358A6"/>
    <w:rsid w:val="00435A93"/>
    <w:rsid w:val="00436F22"/>
    <w:rsid w:val="00441193"/>
    <w:rsid w:val="00442DB4"/>
    <w:rsid w:val="00443B3E"/>
    <w:rsid w:val="00444A3E"/>
    <w:rsid w:val="00447B23"/>
    <w:rsid w:val="00447DFC"/>
    <w:rsid w:val="00450EF7"/>
    <w:rsid w:val="0045284E"/>
    <w:rsid w:val="00454703"/>
    <w:rsid w:val="00454924"/>
    <w:rsid w:val="0045676D"/>
    <w:rsid w:val="004576FA"/>
    <w:rsid w:val="004605D2"/>
    <w:rsid w:val="00460AA4"/>
    <w:rsid w:val="004612D4"/>
    <w:rsid w:val="004613B1"/>
    <w:rsid w:val="00461941"/>
    <w:rsid w:val="00463403"/>
    <w:rsid w:val="00463F87"/>
    <w:rsid w:val="004655BB"/>
    <w:rsid w:val="004658E0"/>
    <w:rsid w:val="00466C4F"/>
    <w:rsid w:val="00466E83"/>
    <w:rsid w:val="00467D15"/>
    <w:rsid w:val="00470F25"/>
    <w:rsid w:val="00471738"/>
    <w:rsid w:val="00471FC0"/>
    <w:rsid w:val="0047218E"/>
    <w:rsid w:val="004724AA"/>
    <w:rsid w:val="00472A53"/>
    <w:rsid w:val="004738B2"/>
    <w:rsid w:val="004738DF"/>
    <w:rsid w:val="00475165"/>
    <w:rsid w:val="0047586F"/>
    <w:rsid w:val="00477827"/>
    <w:rsid w:val="0047795E"/>
    <w:rsid w:val="00481239"/>
    <w:rsid w:val="004819CE"/>
    <w:rsid w:val="00481E02"/>
    <w:rsid w:val="004823CA"/>
    <w:rsid w:val="00482B09"/>
    <w:rsid w:val="0048323B"/>
    <w:rsid w:val="0048342E"/>
    <w:rsid w:val="00483B3A"/>
    <w:rsid w:val="00484BBD"/>
    <w:rsid w:val="004878C1"/>
    <w:rsid w:val="004905EF"/>
    <w:rsid w:val="00490DF2"/>
    <w:rsid w:val="004912FA"/>
    <w:rsid w:val="00491D5C"/>
    <w:rsid w:val="004920A7"/>
    <w:rsid w:val="00492725"/>
    <w:rsid w:val="00492AFD"/>
    <w:rsid w:val="00492EF6"/>
    <w:rsid w:val="00493088"/>
    <w:rsid w:val="004935FE"/>
    <w:rsid w:val="00493A4E"/>
    <w:rsid w:val="00493C12"/>
    <w:rsid w:val="0049400D"/>
    <w:rsid w:val="004952D6"/>
    <w:rsid w:val="004967D8"/>
    <w:rsid w:val="004969F7"/>
    <w:rsid w:val="00497BC9"/>
    <w:rsid w:val="004A022C"/>
    <w:rsid w:val="004A0F84"/>
    <w:rsid w:val="004A1BC2"/>
    <w:rsid w:val="004A239E"/>
    <w:rsid w:val="004A4A1A"/>
    <w:rsid w:val="004A4C3A"/>
    <w:rsid w:val="004A59AA"/>
    <w:rsid w:val="004A6038"/>
    <w:rsid w:val="004A6327"/>
    <w:rsid w:val="004A6429"/>
    <w:rsid w:val="004A660B"/>
    <w:rsid w:val="004A686B"/>
    <w:rsid w:val="004A6A8A"/>
    <w:rsid w:val="004A6B37"/>
    <w:rsid w:val="004A6FFB"/>
    <w:rsid w:val="004B3D7C"/>
    <w:rsid w:val="004B45CF"/>
    <w:rsid w:val="004B4F60"/>
    <w:rsid w:val="004B56B2"/>
    <w:rsid w:val="004B5E10"/>
    <w:rsid w:val="004B6076"/>
    <w:rsid w:val="004B6F8C"/>
    <w:rsid w:val="004B7636"/>
    <w:rsid w:val="004C30C0"/>
    <w:rsid w:val="004C39A0"/>
    <w:rsid w:val="004C3E94"/>
    <w:rsid w:val="004C4797"/>
    <w:rsid w:val="004C4E38"/>
    <w:rsid w:val="004C5DF3"/>
    <w:rsid w:val="004C651B"/>
    <w:rsid w:val="004D28B2"/>
    <w:rsid w:val="004D3D66"/>
    <w:rsid w:val="004D4209"/>
    <w:rsid w:val="004D5538"/>
    <w:rsid w:val="004D75C0"/>
    <w:rsid w:val="004D7EF7"/>
    <w:rsid w:val="004E05E4"/>
    <w:rsid w:val="004E079F"/>
    <w:rsid w:val="004E0949"/>
    <w:rsid w:val="004E0BA5"/>
    <w:rsid w:val="004E1116"/>
    <w:rsid w:val="004E114B"/>
    <w:rsid w:val="004E1BA9"/>
    <w:rsid w:val="004E1FBE"/>
    <w:rsid w:val="004E241F"/>
    <w:rsid w:val="004E24E9"/>
    <w:rsid w:val="004E3038"/>
    <w:rsid w:val="004E3CD9"/>
    <w:rsid w:val="004E413A"/>
    <w:rsid w:val="004E4857"/>
    <w:rsid w:val="004E49B1"/>
    <w:rsid w:val="004F0F1E"/>
    <w:rsid w:val="004F1B2F"/>
    <w:rsid w:val="004F27E0"/>
    <w:rsid w:val="004F2F5C"/>
    <w:rsid w:val="004F3AB9"/>
    <w:rsid w:val="004F4086"/>
    <w:rsid w:val="004F5930"/>
    <w:rsid w:val="004F5F79"/>
    <w:rsid w:val="004F620F"/>
    <w:rsid w:val="004F65C0"/>
    <w:rsid w:val="004F71CB"/>
    <w:rsid w:val="004F77D9"/>
    <w:rsid w:val="0050046E"/>
    <w:rsid w:val="00501392"/>
    <w:rsid w:val="005037F5"/>
    <w:rsid w:val="005054E6"/>
    <w:rsid w:val="005059B8"/>
    <w:rsid w:val="00505CA1"/>
    <w:rsid w:val="00506C85"/>
    <w:rsid w:val="00506D00"/>
    <w:rsid w:val="00507B37"/>
    <w:rsid w:val="00507CAF"/>
    <w:rsid w:val="0051208D"/>
    <w:rsid w:val="005121C2"/>
    <w:rsid w:val="005121D7"/>
    <w:rsid w:val="0051372D"/>
    <w:rsid w:val="005141B0"/>
    <w:rsid w:val="00515898"/>
    <w:rsid w:val="0052076C"/>
    <w:rsid w:val="00522BC2"/>
    <w:rsid w:val="005232F5"/>
    <w:rsid w:val="005233EF"/>
    <w:rsid w:val="00523CBF"/>
    <w:rsid w:val="00524111"/>
    <w:rsid w:val="005251BB"/>
    <w:rsid w:val="005261F1"/>
    <w:rsid w:val="0052750C"/>
    <w:rsid w:val="00527BC3"/>
    <w:rsid w:val="0053174A"/>
    <w:rsid w:val="00531FC4"/>
    <w:rsid w:val="00532059"/>
    <w:rsid w:val="00532B16"/>
    <w:rsid w:val="00532C09"/>
    <w:rsid w:val="0053385C"/>
    <w:rsid w:val="005364D4"/>
    <w:rsid w:val="00536964"/>
    <w:rsid w:val="00536C9B"/>
    <w:rsid w:val="0053719D"/>
    <w:rsid w:val="0053749A"/>
    <w:rsid w:val="00537C3E"/>
    <w:rsid w:val="0054015E"/>
    <w:rsid w:val="00541B58"/>
    <w:rsid w:val="0054248E"/>
    <w:rsid w:val="005425EE"/>
    <w:rsid w:val="00542875"/>
    <w:rsid w:val="005428FD"/>
    <w:rsid w:val="00543669"/>
    <w:rsid w:val="0054381D"/>
    <w:rsid w:val="00544894"/>
    <w:rsid w:val="005454AF"/>
    <w:rsid w:val="005455E5"/>
    <w:rsid w:val="00545F01"/>
    <w:rsid w:val="00546218"/>
    <w:rsid w:val="0054643D"/>
    <w:rsid w:val="00546789"/>
    <w:rsid w:val="00546BE0"/>
    <w:rsid w:val="00547738"/>
    <w:rsid w:val="00547964"/>
    <w:rsid w:val="00550303"/>
    <w:rsid w:val="00551381"/>
    <w:rsid w:val="00554F34"/>
    <w:rsid w:val="00555A0C"/>
    <w:rsid w:val="00555A33"/>
    <w:rsid w:val="00555CFA"/>
    <w:rsid w:val="005579E6"/>
    <w:rsid w:val="0056121E"/>
    <w:rsid w:val="00562622"/>
    <w:rsid w:val="00563416"/>
    <w:rsid w:val="00564B59"/>
    <w:rsid w:val="00565B77"/>
    <w:rsid w:val="00567036"/>
    <w:rsid w:val="00567B37"/>
    <w:rsid w:val="00567BA7"/>
    <w:rsid w:val="0057050E"/>
    <w:rsid w:val="0057110A"/>
    <w:rsid w:val="00572E54"/>
    <w:rsid w:val="0057315F"/>
    <w:rsid w:val="00574140"/>
    <w:rsid w:val="005745C2"/>
    <w:rsid w:val="00574FC9"/>
    <w:rsid w:val="005753A7"/>
    <w:rsid w:val="00575A5D"/>
    <w:rsid w:val="00576023"/>
    <w:rsid w:val="00576266"/>
    <w:rsid w:val="00577070"/>
    <w:rsid w:val="005771DA"/>
    <w:rsid w:val="00580EE6"/>
    <w:rsid w:val="00581B75"/>
    <w:rsid w:val="005820D1"/>
    <w:rsid w:val="005834F5"/>
    <w:rsid w:val="00583A7E"/>
    <w:rsid w:val="00585753"/>
    <w:rsid w:val="00587466"/>
    <w:rsid w:val="00587536"/>
    <w:rsid w:val="005879A1"/>
    <w:rsid w:val="0059032E"/>
    <w:rsid w:val="005907C6"/>
    <w:rsid w:val="00593F8D"/>
    <w:rsid w:val="00594B7B"/>
    <w:rsid w:val="005956EC"/>
    <w:rsid w:val="00595751"/>
    <w:rsid w:val="00595B9D"/>
    <w:rsid w:val="005961FC"/>
    <w:rsid w:val="00596339"/>
    <w:rsid w:val="00597211"/>
    <w:rsid w:val="005A06F7"/>
    <w:rsid w:val="005A074C"/>
    <w:rsid w:val="005A0A61"/>
    <w:rsid w:val="005A16E4"/>
    <w:rsid w:val="005A1A05"/>
    <w:rsid w:val="005A35F0"/>
    <w:rsid w:val="005A44DD"/>
    <w:rsid w:val="005A4AFC"/>
    <w:rsid w:val="005A6BE1"/>
    <w:rsid w:val="005A6C6D"/>
    <w:rsid w:val="005A6ED0"/>
    <w:rsid w:val="005A7C37"/>
    <w:rsid w:val="005B084A"/>
    <w:rsid w:val="005B5729"/>
    <w:rsid w:val="005B5B9B"/>
    <w:rsid w:val="005B5E92"/>
    <w:rsid w:val="005B68F0"/>
    <w:rsid w:val="005B7049"/>
    <w:rsid w:val="005B70B3"/>
    <w:rsid w:val="005C00FE"/>
    <w:rsid w:val="005C11A1"/>
    <w:rsid w:val="005C1250"/>
    <w:rsid w:val="005C1F70"/>
    <w:rsid w:val="005C23B4"/>
    <w:rsid w:val="005C35D7"/>
    <w:rsid w:val="005C38C5"/>
    <w:rsid w:val="005C397C"/>
    <w:rsid w:val="005C692A"/>
    <w:rsid w:val="005C6E3D"/>
    <w:rsid w:val="005C720C"/>
    <w:rsid w:val="005D13AA"/>
    <w:rsid w:val="005D16F9"/>
    <w:rsid w:val="005D1D03"/>
    <w:rsid w:val="005D21E7"/>
    <w:rsid w:val="005D24EE"/>
    <w:rsid w:val="005D25AF"/>
    <w:rsid w:val="005D2825"/>
    <w:rsid w:val="005D4A87"/>
    <w:rsid w:val="005D563A"/>
    <w:rsid w:val="005D6AF0"/>
    <w:rsid w:val="005E0B46"/>
    <w:rsid w:val="005E1D7A"/>
    <w:rsid w:val="005E1EF6"/>
    <w:rsid w:val="005E20DB"/>
    <w:rsid w:val="005E21AF"/>
    <w:rsid w:val="005E2C94"/>
    <w:rsid w:val="005E45D6"/>
    <w:rsid w:val="005E52B8"/>
    <w:rsid w:val="005E5AC9"/>
    <w:rsid w:val="005E648D"/>
    <w:rsid w:val="005E7500"/>
    <w:rsid w:val="005F023C"/>
    <w:rsid w:val="005F17D8"/>
    <w:rsid w:val="005F1903"/>
    <w:rsid w:val="005F1E13"/>
    <w:rsid w:val="005F3779"/>
    <w:rsid w:val="005F395F"/>
    <w:rsid w:val="005F446F"/>
    <w:rsid w:val="005F48D2"/>
    <w:rsid w:val="005F4D3E"/>
    <w:rsid w:val="005F544E"/>
    <w:rsid w:val="005F5653"/>
    <w:rsid w:val="005F634A"/>
    <w:rsid w:val="005F7893"/>
    <w:rsid w:val="005F7966"/>
    <w:rsid w:val="005F7CA7"/>
    <w:rsid w:val="00600127"/>
    <w:rsid w:val="0060023E"/>
    <w:rsid w:val="00600A1E"/>
    <w:rsid w:val="006016C2"/>
    <w:rsid w:val="00601F99"/>
    <w:rsid w:val="00603FBD"/>
    <w:rsid w:val="0060490A"/>
    <w:rsid w:val="0061173E"/>
    <w:rsid w:val="00612CB5"/>
    <w:rsid w:val="0061305F"/>
    <w:rsid w:val="00613374"/>
    <w:rsid w:val="006135A2"/>
    <w:rsid w:val="00613BBC"/>
    <w:rsid w:val="0061483C"/>
    <w:rsid w:val="00615875"/>
    <w:rsid w:val="00616070"/>
    <w:rsid w:val="00616D49"/>
    <w:rsid w:val="00617CC0"/>
    <w:rsid w:val="0062039B"/>
    <w:rsid w:val="00621E23"/>
    <w:rsid w:val="00622DE4"/>
    <w:rsid w:val="006233FA"/>
    <w:rsid w:val="006240B5"/>
    <w:rsid w:val="00624E11"/>
    <w:rsid w:val="006251C0"/>
    <w:rsid w:val="00626B63"/>
    <w:rsid w:val="00626BE6"/>
    <w:rsid w:val="00627B3A"/>
    <w:rsid w:val="006334A6"/>
    <w:rsid w:val="006360FE"/>
    <w:rsid w:val="006370EF"/>
    <w:rsid w:val="00637A2F"/>
    <w:rsid w:val="0064056F"/>
    <w:rsid w:val="0064132A"/>
    <w:rsid w:val="006417E3"/>
    <w:rsid w:val="00641FD5"/>
    <w:rsid w:val="006425F9"/>
    <w:rsid w:val="006427B6"/>
    <w:rsid w:val="00645180"/>
    <w:rsid w:val="006457BE"/>
    <w:rsid w:val="00647285"/>
    <w:rsid w:val="00647686"/>
    <w:rsid w:val="00651FC8"/>
    <w:rsid w:val="0065217B"/>
    <w:rsid w:val="006522E4"/>
    <w:rsid w:val="00653083"/>
    <w:rsid w:val="00653113"/>
    <w:rsid w:val="00653858"/>
    <w:rsid w:val="00654278"/>
    <w:rsid w:val="00654C41"/>
    <w:rsid w:val="0065573D"/>
    <w:rsid w:val="00655928"/>
    <w:rsid w:val="00656396"/>
    <w:rsid w:val="00656414"/>
    <w:rsid w:val="006601B8"/>
    <w:rsid w:val="00660E1E"/>
    <w:rsid w:val="00662E9B"/>
    <w:rsid w:val="006630DF"/>
    <w:rsid w:val="00664C7C"/>
    <w:rsid w:val="00664F27"/>
    <w:rsid w:val="00664FBF"/>
    <w:rsid w:val="006656EF"/>
    <w:rsid w:val="00665D57"/>
    <w:rsid w:val="00666EF1"/>
    <w:rsid w:val="00670109"/>
    <w:rsid w:val="006712C2"/>
    <w:rsid w:val="00673B0A"/>
    <w:rsid w:val="00673D7A"/>
    <w:rsid w:val="006744E2"/>
    <w:rsid w:val="006771AA"/>
    <w:rsid w:val="00680A43"/>
    <w:rsid w:val="00681D7C"/>
    <w:rsid w:val="0068424F"/>
    <w:rsid w:val="00686D1D"/>
    <w:rsid w:val="00686D7E"/>
    <w:rsid w:val="0068709E"/>
    <w:rsid w:val="006870F0"/>
    <w:rsid w:val="00691A2C"/>
    <w:rsid w:val="00691FE5"/>
    <w:rsid w:val="00692F7F"/>
    <w:rsid w:val="00694269"/>
    <w:rsid w:val="00694329"/>
    <w:rsid w:val="00694502"/>
    <w:rsid w:val="00694DB1"/>
    <w:rsid w:val="006952C4"/>
    <w:rsid w:val="00695B71"/>
    <w:rsid w:val="006A10C0"/>
    <w:rsid w:val="006A1585"/>
    <w:rsid w:val="006A1DC4"/>
    <w:rsid w:val="006A42D2"/>
    <w:rsid w:val="006A489A"/>
    <w:rsid w:val="006A512E"/>
    <w:rsid w:val="006A5D85"/>
    <w:rsid w:val="006A6FFB"/>
    <w:rsid w:val="006B057C"/>
    <w:rsid w:val="006B13AC"/>
    <w:rsid w:val="006B13B0"/>
    <w:rsid w:val="006B1F8B"/>
    <w:rsid w:val="006B3873"/>
    <w:rsid w:val="006B424C"/>
    <w:rsid w:val="006B4F87"/>
    <w:rsid w:val="006B54EE"/>
    <w:rsid w:val="006B5BA7"/>
    <w:rsid w:val="006B5F64"/>
    <w:rsid w:val="006B65C4"/>
    <w:rsid w:val="006B68F3"/>
    <w:rsid w:val="006B71CF"/>
    <w:rsid w:val="006C0842"/>
    <w:rsid w:val="006C1A4D"/>
    <w:rsid w:val="006C31D9"/>
    <w:rsid w:val="006C3397"/>
    <w:rsid w:val="006C6CEE"/>
    <w:rsid w:val="006C745E"/>
    <w:rsid w:val="006D20B9"/>
    <w:rsid w:val="006D2AEF"/>
    <w:rsid w:val="006D2DFA"/>
    <w:rsid w:val="006D3413"/>
    <w:rsid w:val="006D42CF"/>
    <w:rsid w:val="006D42ED"/>
    <w:rsid w:val="006D4D02"/>
    <w:rsid w:val="006D56EA"/>
    <w:rsid w:val="006D6962"/>
    <w:rsid w:val="006D6C32"/>
    <w:rsid w:val="006D6E1B"/>
    <w:rsid w:val="006D7FD7"/>
    <w:rsid w:val="006E0AC7"/>
    <w:rsid w:val="006E0FF9"/>
    <w:rsid w:val="006E1C9B"/>
    <w:rsid w:val="006E1CE7"/>
    <w:rsid w:val="006E1F3B"/>
    <w:rsid w:val="006E20C3"/>
    <w:rsid w:val="006E56F8"/>
    <w:rsid w:val="006E5B44"/>
    <w:rsid w:val="006E7730"/>
    <w:rsid w:val="006E7CCA"/>
    <w:rsid w:val="006F1408"/>
    <w:rsid w:val="006F1AF1"/>
    <w:rsid w:val="006F3706"/>
    <w:rsid w:val="006F401C"/>
    <w:rsid w:val="006F401F"/>
    <w:rsid w:val="006F5210"/>
    <w:rsid w:val="006F77FF"/>
    <w:rsid w:val="006F7EB4"/>
    <w:rsid w:val="007000F5"/>
    <w:rsid w:val="007006E8"/>
    <w:rsid w:val="00702102"/>
    <w:rsid w:val="0070454E"/>
    <w:rsid w:val="00704CFC"/>
    <w:rsid w:val="00705849"/>
    <w:rsid w:val="00705C3A"/>
    <w:rsid w:val="00706712"/>
    <w:rsid w:val="007073AD"/>
    <w:rsid w:val="007074EF"/>
    <w:rsid w:val="00710711"/>
    <w:rsid w:val="00711636"/>
    <w:rsid w:val="00711AC6"/>
    <w:rsid w:val="00712866"/>
    <w:rsid w:val="0071291F"/>
    <w:rsid w:val="00715156"/>
    <w:rsid w:val="007172B7"/>
    <w:rsid w:val="00717671"/>
    <w:rsid w:val="00717992"/>
    <w:rsid w:val="0072022C"/>
    <w:rsid w:val="0072177F"/>
    <w:rsid w:val="00721AD0"/>
    <w:rsid w:val="00724AD5"/>
    <w:rsid w:val="0072742D"/>
    <w:rsid w:val="00731C26"/>
    <w:rsid w:val="00732F19"/>
    <w:rsid w:val="00734708"/>
    <w:rsid w:val="00734896"/>
    <w:rsid w:val="00735609"/>
    <w:rsid w:val="00735869"/>
    <w:rsid w:val="00735BBA"/>
    <w:rsid w:val="00736B0A"/>
    <w:rsid w:val="00740DD4"/>
    <w:rsid w:val="00740F4C"/>
    <w:rsid w:val="00741D1C"/>
    <w:rsid w:val="00742609"/>
    <w:rsid w:val="0074372F"/>
    <w:rsid w:val="00744280"/>
    <w:rsid w:val="00746362"/>
    <w:rsid w:val="00747581"/>
    <w:rsid w:val="00747E54"/>
    <w:rsid w:val="00751BC5"/>
    <w:rsid w:val="00751E4C"/>
    <w:rsid w:val="00752729"/>
    <w:rsid w:val="00752A94"/>
    <w:rsid w:val="007535CB"/>
    <w:rsid w:val="00753822"/>
    <w:rsid w:val="00753A07"/>
    <w:rsid w:val="007544A1"/>
    <w:rsid w:val="007548FD"/>
    <w:rsid w:val="00754F15"/>
    <w:rsid w:val="007568A5"/>
    <w:rsid w:val="00756D55"/>
    <w:rsid w:val="0075702D"/>
    <w:rsid w:val="007608F3"/>
    <w:rsid w:val="00761DE0"/>
    <w:rsid w:val="00762A8A"/>
    <w:rsid w:val="00764901"/>
    <w:rsid w:val="00764F94"/>
    <w:rsid w:val="00765B25"/>
    <w:rsid w:val="00765C0D"/>
    <w:rsid w:val="00766081"/>
    <w:rsid w:val="00767E2A"/>
    <w:rsid w:val="00767FB3"/>
    <w:rsid w:val="00770B2A"/>
    <w:rsid w:val="00770C26"/>
    <w:rsid w:val="00770E72"/>
    <w:rsid w:val="00771E4C"/>
    <w:rsid w:val="00772393"/>
    <w:rsid w:val="00772935"/>
    <w:rsid w:val="00772A7B"/>
    <w:rsid w:val="00773748"/>
    <w:rsid w:val="00773A0B"/>
    <w:rsid w:val="00776DCC"/>
    <w:rsid w:val="0078079B"/>
    <w:rsid w:val="00782927"/>
    <w:rsid w:val="00782ABB"/>
    <w:rsid w:val="00782D98"/>
    <w:rsid w:val="0078334B"/>
    <w:rsid w:val="00787372"/>
    <w:rsid w:val="00790AF9"/>
    <w:rsid w:val="0079142B"/>
    <w:rsid w:val="0079229C"/>
    <w:rsid w:val="007934E4"/>
    <w:rsid w:val="007A0E3A"/>
    <w:rsid w:val="007A1993"/>
    <w:rsid w:val="007A220C"/>
    <w:rsid w:val="007A2734"/>
    <w:rsid w:val="007A297E"/>
    <w:rsid w:val="007A4590"/>
    <w:rsid w:val="007A59D9"/>
    <w:rsid w:val="007A5BF5"/>
    <w:rsid w:val="007A6C32"/>
    <w:rsid w:val="007A7961"/>
    <w:rsid w:val="007A7BC6"/>
    <w:rsid w:val="007B042E"/>
    <w:rsid w:val="007B058B"/>
    <w:rsid w:val="007B2E20"/>
    <w:rsid w:val="007B36C9"/>
    <w:rsid w:val="007B6564"/>
    <w:rsid w:val="007B717B"/>
    <w:rsid w:val="007B7271"/>
    <w:rsid w:val="007B76A2"/>
    <w:rsid w:val="007C0101"/>
    <w:rsid w:val="007C2538"/>
    <w:rsid w:val="007C2B49"/>
    <w:rsid w:val="007C2BF9"/>
    <w:rsid w:val="007C4747"/>
    <w:rsid w:val="007C48B3"/>
    <w:rsid w:val="007C4BE9"/>
    <w:rsid w:val="007C581C"/>
    <w:rsid w:val="007C58FB"/>
    <w:rsid w:val="007C5B72"/>
    <w:rsid w:val="007C625C"/>
    <w:rsid w:val="007C7D0A"/>
    <w:rsid w:val="007C7DB8"/>
    <w:rsid w:val="007D029C"/>
    <w:rsid w:val="007D1720"/>
    <w:rsid w:val="007D24A0"/>
    <w:rsid w:val="007D43EA"/>
    <w:rsid w:val="007D457A"/>
    <w:rsid w:val="007D6C59"/>
    <w:rsid w:val="007D73D5"/>
    <w:rsid w:val="007D7733"/>
    <w:rsid w:val="007E1B43"/>
    <w:rsid w:val="007E2066"/>
    <w:rsid w:val="007E28C1"/>
    <w:rsid w:val="007E318F"/>
    <w:rsid w:val="007E37A9"/>
    <w:rsid w:val="007E5AA7"/>
    <w:rsid w:val="007E5E30"/>
    <w:rsid w:val="007E62B9"/>
    <w:rsid w:val="007E730A"/>
    <w:rsid w:val="007E760E"/>
    <w:rsid w:val="007F106C"/>
    <w:rsid w:val="007F1FF2"/>
    <w:rsid w:val="007F253D"/>
    <w:rsid w:val="007F2834"/>
    <w:rsid w:val="007F3278"/>
    <w:rsid w:val="007F3673"/>
    <w:rsid w:val="007F453B"/>
    <w:rsid w:val="007F5F2F"/>
    <w:rsid w:val="007F61CB"/>
    <w:rsid w:val="007F62F9"/>
    <w:rsid w:val="007F65BE"/>
    <w:rsid w:val="007F6744"/>
    <w:rsid w:val="007F6F4F"/>
    <w:rsid w:val="007F7045"/>
    <w:rsid w:val="007F7058"/>
    <w:rsid w:val="008007E2"/>
    <w:rsid w:val="00801089"/>
    <w:rsid w:val="008018FC"/>
    <w:rsid w:val="0080403C"/>
    <w:rsid w:val="008040D1"/>
    <w:rsid w:val="00804139"/>
    <w:rsid w:val="008059D4"/>
    <w:rsid w:val="00806431"/>
    <w:rsid w:val="008070D9"/>
    <w:rsid w:val="008079CB"/>
    <w:rsid w:val="00810133"/>
    <w:rsid w:val="00810560"/>
    <w:rsid w:val="008109F5"/>
    <w:rsid w:val="00810EA4"/>
    <w:rsid w:val="008129CC"/>
    <w:rsid w:val="008137DC"/>
    <w:rsid w:val="00814877"/>
    <w:rsid w:val="00814FC3"/>
    <w:rsid w:val="00815531"/>
    <w:rsid w:val="00816291"/>
    <w:rsid w:val="00816650"/>
    <w:rsid w:val="00816B1E"/>
    <w:rsid w:val="00816F9C"/>
    <w:rsid w:val="00816FAC"/>
    <w:rsid w:val="00817C5A"/>
    <w:rsid w:val="00817E17"/>
    <w:rsid w:val="008218CA"/>
    <w:rsid w:val="00821D87"/>
    <w:rsid w:val="00822CC1"/>
    <w:rsid w:val="008255B3"/>
    <w:rsid w:val="008257F8"/>
    <w:rsid w:val="0082616F"/>
    <w:rsid w:val="00826D6C"/>
    <w:rsid w:val="00826EE0"/>
    <w:rsid w:val="00830395"/>
    <w:rsid w:val="00830E20"/>
    <w:rsid w:val="008319E7"/>
    <w:rsid w:val="00831C16"/>
    <w:rsid w:val="00832218"/>
    <w:rsid w:val="00832AF4"/>
    <w:rsid w:val="00833233"/>
    <w:rsid w:val="00833677"/>
    <w:rsid w:val="00833D85"/>
    <w:rsid w:val="00836EBA"/>
    <w:rsid w:val="008372F9"/>
    <w:rsid w:val="00837347"/>
    <w:rsid w:val="0083753F"/>
    <w:rsid w:val="0083764C"/>
    <w:rsid w:val="008378C4"/>
    <w:rsid w:val="00841B1E"/>
    <w:rsid w:val="00841C90"/>
    <w:rsid w:val="00841E74"/>
    <w:rsid w:val="00842151"/>
    <w:rsid w:val="00842CDE"/>
    <w:rsid w:val="00844E0D"/>
    <w:rsid w:val="0084515A"/>
    <w:rsid w:val="0084566E"/>
    <w:rsid w:val="00845C3C"/>
    <w:rsid w:val="00846E5F"/>
    <w:rsid w:val="008501B5"/>
    <w:rsid w:val="00851032"/>
    <w:rsid w:val="008513AB"/>
    <w:rsid w:val="008515C4"/>
    <w:rsid w:val="00851AEC"/>
    <w:rsid w:val="00851D13"/>
    <w:rsid w:val="00852D45"/>
    <w:rsid w:val="00855649"/>
    <w:rsid w:val="0085788E"/>
    <w:rsid w:val="0086051C"/>
    <w:rsid w:val="00860755"/>
    <w:rsid w:val="008607E3"/>
    <w:rsid w:val="008612E6"/>
    <w:rsid w:val="00861D7A"/>
    <w:rsid w:val="00861D9E"/>
    <w:rsid w:val="00863CFB"/>
    <w:rsid w:val="008644C2"/>
    <w:rsid w:val="00864C27"/>
    <w:rsid w:val="00864D60"/>
    <w:rsid w:val="008658A4"/>
    <w:rsid w:val="008662A1"/>
    <w:rsid w:val="00866FB5"/>
    <w:rsid w:val="00872001"/>
    <w:rsid w:val="008725D1"/>
    <w:rsid w:val="008725E4"/>
    <w:rsid w:val="00872749"/>
    <w:rsid w:val="00872F08"/>
    <w:rsid w:val="008731B6"/>
    <w:rsid w:val="00873466"/>
    <w:rsid w:val="00874882"/>
    <w:rsid w:val="00874F0F"/>
    <w:rsid w:val="00875CBD"/>
    <w:rsid w:val="00875D36"/>
    <w:rsid w:val="00875E29"/>
    <w:rsid w:val="008761D3"/>
    <w:rsid w:val="008808EE"/>
    <w:rsid w:val="00880E46"/>
    <w:rsid w:val="00881C8A"/>
    <w:rsid w:val="008820E1"/>
    <w:rsid w:val="008843D8"/>
    <w:rsid w:val="00886146"/>
    <w:rsid w:val="00890546"/>
    <w:rsid w:val="00890E7D"/>
    <w:rsid w:val="00892AF9"/>
    <w:rsid w:val="00893706"/>
    <w:rsid w:val="00893998"/>
    <w:rsid w:val="00893BC0"/>
    <w:rsid w:val="008943EB"/>
    <w:rsid w:val="00895767"/>
    <w:rsid w:val="00897470"/>
    <w:rsid w:val="008A1EDB"/>
    <w:rsid w:val="008A2E81"/>
    <w:rsid w:val="008A3E71"/>
    <w:rsid w:val="008A5397"/>
    <w:rsid w:val="008A65D3"/>
    <w:rsid w:val="008A7DA7"/>
    <w:rsid w:val="008B039D"/>
    <w:rsid w:val="008B0C84"/>
    <w:rsid w:val="008B16F9"/>
    <w:rsid w:val="008B3D0C"/>
    <w:rsid w:val="008B547F"/>
    <w:rsid w:val="008B5D25"/>
    <w:rsid w:val="008B61CF"/>
    <w:rsid w:val="008C13B2"/>
    <w:rsid w:val="008C20D1"/>
    <w:rsid w:val="008C2143"/>
    <w:rsid w:val="008C3360"/>
    <w:rsid w:val="008C4E41"/>
    <w:rsid w:val="008C59FF"/>
    <w:rsid w:val="008C62B4"/>
    <w:rsid w:val="008C661C"/>
    <w:rsid w:val="008C665D"/>
    <w:rsid w:val="008C686D"/>
    <w:rsid w:val="008C6BD0"/>
    <w:rsid w:val="008C71CD"/>
    <w:rsid w:val="008C78A2"/>
    <w:rsid w:val="008D11D8"/>
    <w:rsid w:val="008D21F8"/>
    <w:rsid w:val="008D24B9"/>
    <w:rsid w:val="008D26C9"/>
    <w:rsid w:val="008D44F1"/>
    <w:rsid w:val="008D4F98"/>
    <w:rsid w:val="008D5981"/>
    <w:rsid w:val="008D60F3"/>
    <w:rsid w:val="008D6696"/>
    <w:rsid w:val="008D76A8"/>
    <w:rsid w:val="008D7960"/>
    <w:rsid w:val="008D7B3A"/>
    <w:rsid w:val="008E57BB"/>
    <w:rsid w:val="008E590D"/>
    <w:rsid w:val="008E6E0F"/>
    <w:rsid w:val="008E74DE"/>
    <w:rsid w:val="008F0368"/>
    <w:rsid w:val="008F07D1"/>
    <w:rsid w:val="008F1E98"/>
    <w:rsid w:val="008F25C1"/>
    <w:rsid w:val="008F3458"/>
    <w:rsid w:val="008F38C6"/>
    <w:rsid w:val="008F4150"/>
    <w:rsid w:val="008F4C51"/>
    <w:rsid w:val="008F50C6"/>
    <w:rsid w:val="008F5C14"/>
    <w:rsid w:val="008F5C22"/>
    <w:rsid w:val="008F60B3"/>
    <w:rsid w:val="008F69C3"/>
    <w:rsid w:val="008F7382"/>
    <w:rsid w:val="00900441"/>
    <w:rsid w:val="009007D2"/>
    <w:rsid w:val="009022BB"/>
    <w:rsid w:val="0090243D"/>
    <w:rsid w:val="00902A12"/>
    <w:rsid w:val="00903478"/>
    <w:rsid w:val="009034E4"/>
    <w:rsid w:val="00904287"/>
    <w:rsid w:val="00904437"/>
    <w:rsid w:val="009047DD"/>
    <w:rsid w:val="00904B8C"/>
    <w:rsid w:val="009058BA"/>
    <w:rsid w:val="00905AA9"/>
    <w:rsid w:val="009103FD"/>
    <w:rsid w:val="0091079D"/>
    <w:rsid w:val="00911B38"/>
    <w:rsid w:val="0091498D"/>
    <w:rsid w:val="00914CB8"/>
    <w:rsid w:val="009151EA"/>
    <w:rsid w:val="0091540F"/>
    <w:rsid w:val="00915599"/>
    <w:rsid w:val="00915668"/>
    <w:rsid w:val="00916DDD"/>
    <w:rsid w:val="00917422"/>
    <w:rsid w:val="0092055F"/>
    <w:rsid w:val="00921D66"/>
    <w:rsid w:val="00921FEC"/>
    <w:rsid w:val="00922C57"/>
    <w:rsid w:val="00922DB2"/>
    <w:rsid w:val="00923D4C"/>
    <w:rsid w:val="00923D74"/>
    <w:rsid w:val="00923E91"/>
    <w:rsid w:val="00924965"/>
    <w:rsid w:val="009249D0"/>
    <w:rsid w:val="00925E77"/>
    <w:rsid w:val="009264C5"/>
    <w:rsid w:val="00927A0E"/>
    <w:rsid w:val="00927F7B"/>
    <w:rsid w:val="009314B5"/>
    <w:rsid w:val="00933CD2"/>
    <w:rsid w:val="00933F39"/>
    <w:rsid w:val="00936071"/>
    <w:rsid w:val="00936C89"/>
    <w:rsid w:val="009373BA"/>
    <w:rsid w:val="00940070"/>
    <w:rsid w:val="00940384"/>
    <w:rsid w:val="00940B25"/>
    <w:rsid w:val="00941201"/>
    <w:rsid w:val="00942062"/>
    <w:rsid w:val="009452CE"/>
    <w:rsid w:val="00946D95"/>
    <w:rsid w:val="009472B1"/>
    <w:rsid w:val="00950383"/>
    <w:rsid w:val="009518A5"/>
    <w:rsid w:val="009523EE"/>
    <w:rsid w:val="009542B2"/>
    <w:rsid w:val="00954F92"/>
    <w:rsid w:val="009556B2"/>
    <w:rsid w:val="00955714"/>
    <w:rsid w:val="009573A0"/>
    <w:rsid w:val="0096116E"/>
    <w:rsid w:val="00961504"/>
    <w:rsid w:val="00962473"/>
    <w:rsid w:val="009625B1"/>
    <w:rsid w:val="0096317F"/>
    <w:rsid w:val="009647B7"/>
    <w:rsid w:val="009654A7"/>
    <w:rsid w:val="00965BA2"/>
    <w:rsid w:val="00966D8C"/>
    <w:rsid w:val="00967F46"/>
    <w:rsid w:val="00967FB9"/>
    <w:rsid w:val="00971E4C"/>
    <w:rsid w:val="00973E27"/>
    <w:rsid w:val="00974223"/>
    <w:rsid w:val="009744FA"/>
    <w:rsid w:val="00975573"/>
    <w:rsid w:val="009758B6"/>
    <w:rsid w:val="00976283"/>
    <w:rsid w:val="00980ED7"/>
    <w:rsid w:val="009846BE"/>
    <w:rsid w:val="00984A28"/>
    <w:rsid w:val="00985FD1"/>
    <w:rsid w:val="00986FF9"/>
    <w:rsid w:val="00987EFD"/>
    <w:rsid w:val="00991DF9"/>
    <w:rsid w:val="00992213"/>
    <w:rsid w:val="00993717"/>
    <w:rsid w:val="0099390A"/>
    <w:rsid w:val="009963C5"/>
    <w:rsid w:val="009966DC"/>
    <w:rsid w:val="00997CD2"/>
    <w:rsid w:val="00997F1E"/>
    <w:rsid w:val="009A0B97"/>
    <w:rsid w:val="009A4BA2"/>
    <w:rsid w:val="009A4E8A"/>
    <w:rsid w:val="009B19F1"/>
    <w:rsid w:val="009B4191"/>
    <w:rsid w:val="009B4920"/>
    <w:rsid w:val="009B4B1F"/>
    <w:rsid w:val="009B4E30"/>
    <w:rsid w:val="009B6604"/>
    <w:rsid w:val="009B7E51"/>
    <w:rsid w:val="009C1283"/>
    <w:rsid w:val="009C13EB"/>
    <w:rsid w:val="009C1A54"/>
    <w:rsid w:val="009C22B9"/>
    <w:rsid w:val="009C296D"/>
    <w:rsid w:val="009C3804"/>
    <w:rsid w:val="009C3C06"/>
    <w:rsid w:val="009C4F24"/>
    <w:rsid w:val="009C5BDF"/>
    <w:rsid w:val="009C6035"/>
    <w:rsid w:val="009C6118"/>
    <w:rsid w:val="009C62EE"/>
    <w:rsid w:val="009D12DA"/>
    <w:rsid w:val="009D185B"/>
    <w:rsid w:val="009D22FD"/>
    <w:rsid w:val="009D314A"/>
    <w:rsid w:val="009D34C3"/>
    <w:rsid w:val="009D4771"/>
    <w:rsid w:val="009D4FDB"/>
    <w:rsid w:val="009D5055"/>
    <w:rsid w:val="009D7D1C"/>
    <w:rsid w:val="009E03DD"/>
    <w:rsid w:val="009E05E8"/>
    <w:rsid w:val="009E0955"/>
    <w:rsid w:val="009E100E"/>
    <w:rsid w:val="009E1829"/>
    <w:rsid w:val="009E18FB"/>
    <w:rsid w:val="009E364F"/>
    <w:rsid w:val="009E39AF"/>
    <w:rsid w:val="009E3D27"/>
    <w:rsid w:val="009E436C"/>
    <w:rsid w:val="009E4394"/>
    <w:rsid w:val="009E4652"/>
    <w:rsid w:val="009E47BD"/>
    <w:rsid w:val="009E4C34"/>
    <w:rsid w:val="009E6246"/>
    <w:rsid w:val="009E6466"/>
    <w:rsid w:val="009E75A5"/>
    <w:rsid w:val="009F072C"/>
    <w:rsid w:val="009F1677"/>
    <w:rsid w:val="009F245E"/>
    <w:rsid w:val="009F25DF"/>
    <w:rsid w:val="009F3AD9"/>
    <w:rsid w:val="009F56FC"/>
    <w:rsid w:val="009F6F9B"/>
    <w:rsid w:val="00A00E55"/>
    <w:rsid w:val="00A01713"/>
    <w:rsid w:val="00A01E0E"/>
    <w:rsid w:val="00A033AA"/>
    <w:rsid w:val="00A0354F"/>
    <w:rsid w:val="00A036E4"/>
    <w:rsid w:val="00A03D32"/>
    <w:rsid w:val="00A03E30"/>
    <w:rsid w:val="00A042DB"/>
    <w:rsid w:val="00A05871"/>
    <w:rsid w:val="00A0662B"/>
    <w:rsid w:val="00A06F21"/>
    <w:rsid w:val="00A10111"/>
    <w:rsid w:val="00A115BA"/>
    <w:rsid w:val="00A11AC7"/>
    <w:rsid w:val="00A1333D"/>
    <w:rsid w:val="00A13401"/>
    <w:rsid w:val="00A13E12"/>
    <w:rsid w:val="00A1581E"/>
    <w:rsid w:val="00A15C6A"/>
    <w:rsid w:val="00A16050"/>
    <w:rsid w:val="00A164C0"/>
    <w:rsid w:val="00A16B62"/>
    <w:rsid w:val="00A16CD3"/>
    <w:rsid w:val="00A202F3"/>
    <w:rsid w:val="00A2112A"/>
    <w:rsid w:val="00A21391"/>
    <w:rsid w:val="00A22A96"/>
    <w:rsid w:val="00A23C0B"/>
    <w:rsid w:val="00A26DA4"/>
    <w:rsid w:val="00A30392"/>
    <w:rsid w:val="00A30FB1"/>
    <w:rsid w:val="00A3129E"/>
    <w:rsid w:val="00A319D9"/>
    <w:rsid w:val="00A328E7"/>
    <w:rsid w:val="00A33DF3"/>
    <w:rsid w:val="00A3426D"/>
    <w:rsid w:val="00A36E81"/>
    <w:rsid w:val="00A37612"/>
    <w:rsid w:val="00A40DF6"/>
    <w:rsid w:val="00A410E9"/>
    <w:rsid w:val="00A41706"/>
    <w:rsid w:val="00A43F1A"/>
    <w:rsid w:val="00A4436C"/>
    <w:rsid w:val="00A45D87"/>
    <w:rsid w:val="00A467C7"/>
    <w:rsid w:val="00A47806"/>
    <w:rsid w:val="00A50130"/>
    <w:rsid w:val="00A517D7"/>
    <w:rsid w:val="00A52058"/>
    <w:rsid w:val="00A53BE3"/>
    <w:rsid w:val="00A54049"/>
    <w:rsid w:val="00A54AF8"/>
    <w:rsid w:val="00A55760"/>
    <w:rsid w:val="00A55790"/>
    <w:rsid w:val="00A6074E"/>
    <w:rsid w:val="00A608FC"/>
    <w:rsid w:val="00A60F13"/>
    <w:rsid w:val="00A60F39"/>
    <w:rsid w:val="00A611D3"/>
    <w:rsid w:val="00A616E5"/>
    <w:rsid w:val="00A647F5"/>
    <w:rsid w:val="00A64993"/>
    <w:rsid w:val="00A66338"/>
    <w:rsid w:val="00A66D6F"/>
    <w:rsid w:val="00A703A7"/>
    <w:rsid w:val="00A70758"/>
    <w:rsid w:val="00A7132D"/>
    <w:rsid w:val="00A7149C"/>
    <w:rsid w:val="00A71E8A"/>
    <w:rsid w:val="00A722B3"/>
    <w:rsid w:val="00A72900"/>
    <w:rsid w:val="00A72A74"/>
    <w:rsid w:val="00A73D1D"/>
    <w:rsid w:val="00A748D2"/>
    <w:rsid w:val="00A74A83"/>
    <w:rsid w:val="00A75051"/>
    <w:rsid w:val="00A75CE6"/>
    <w:rsid w:val="00A76D61"/>
    <w:rsid w:val="00A774B0"/>
    <w:rsid w:val="00A817BB"/>
    <w:rsid w:val="00A81C25"/>
    <w:rsid w:val="00A82CD5"/>
    <w:rsid w:val="00A8305B"/>
    <w:rsid w:val="00A83481"/>
    <w:rsid w:val="00A839DB"/>
    <w:rsid w:val="00A83FD8"/>
    <w:rsid w:val="00A84382"/>
    <w:rsid w:val="00A84D4B"/>
    <w:rsid w:val="00A8656C"/>
    <w:rsid w:val="00A86AED"/>
    <w:rsid w:val="00A875F3"/>
    <w:rsid w:val="00A91B05"/>
    <w:rsid w:val="00A9265D"/>
    <w:rsid w:val="00A93A9B"/>
    <w:rsid w:val="00A9413B"/>
    <w:rsid w:val="00A94602"/>
    <w:rsid w:val="00A94A48"/>
    <w:rsid w:val="00A953BF"/>
    <w:rsid w:val="00A9593B"/>
    <w:rsid w:val="00A964BD"/>
    <w:rsid w:val="00A9673F"/>
    <w:rsid w:val="00A96B18"/>
    <w:rsid w:val="00A971AB"/>
    <w:rsid w:val="00A9769D"/>
    <w:rsid w:val="00A976FD"/>
    <w:rsid w:val="00A978C5"/>
    <w:rsid w:val="00A978C6"/>
    <w:rsid w:val="00A97D60"/>
    <w:rsid w:val="00AA03C5"/>
    <w:rsid w:val="00AA0E01"/>
    <w:rsid w:val="00AA1004"/>
    <w:rsid w:val="00AA1129"/>
    <w:rsid w:val="00AA265D"/>
    <w:rsid w:val="00AA326D"/>
    <w:rsid w:val="00AA3386"/>
    <w:rsid w:val="00AA338E"/>
    <w:rsid w:val="00AA3993"/>
    <w:rsid w:val="00AA53E5"/>
    <w:rsid w:val="00AA6E3C"/>
    <w:rsid w:val="00AA7617"/>
    <w:rsid w:val="00AB004F"/>
    <w:rsid w:val="00AB04CE"/>
    <w:rsid w:val="00AB1117"/>
    <w:rsid w:val="00AB1B2D"/>
    <w:rsid w:val="00AB216C"/>
    <w:rsid w:val="00AB4C69"/>
    <w:rsid w:val="00AB55B1"/>
    <w:rsid w:val="00AB5E60"/>
    <w:rsid w:val="00AB6884"/>
    <w:rsid w:val="00AC031F"/>
    <w:rsid w:val="00AC0CFF"/>
    <w:rsid w:val="00AC100B"/>
    <w:rsid w:val="00AC25B9"/>
    <w:rsid w:val="00AC2AB5"/>
    <w:rsid w:val="00AC2C47"/>
    <w:rsid w:val="00AC5F0A"/>
    <w:rsid w:val="00AC66A6"/>
    <w:rsid w:val="00AC6E55"/>
    <w:rsid w:val="00AC7619"/>
    <w:rsid w:val="00AD0FA9"/>
    <w:rsid w:val="00AD12BD"/>
    <w:rsid w:val="00AD1917"/>
    <w:rsid w:val="00AD1A4C"/>
    <w:rsid w:val="00AD1A6F"/>
    <w:rsid w:val="00AD1B2F"/>
    <w:rsid w:val="00AD356C"/>
    <w:rsid w:val="00AD3775"/>
    <w:rsid w:val="00AD3BD2"/>
    <w:rsid w:val="00AD5156"/>
    <w:rsid w:val="00AD65E3"/>
    <w:rsid w:val="00AD69AB"/>
    <w:rsid w:val="00AD6E44"/>
    <w:rsid w:val="00AD6F29"/>
    <w:rsid w:val="00AD7F59"/>
    <w:rsid w:val="00AE08C6"/>
    <w:rsid w:val="00AE0D3D"/>
    <w:rsid w:val="00AE214F"/>
    <w:rsid w:val="00AE24C7"/>
    <w:rsid w:val="00AE2A40"/>
    <w:rsid w:val="00AE2C92"/>
    <w:rsid w:val="00AE3016"/>
    <w:rsid w:val="00AE3590"/>
    <w:rsid w:val="00AE43D6"/>
    <w:rsid w:val="00AE47F4"/>
    <w:rsid w:val="00AE5343"/>
    <w:rsid w:val="00AE5C91"/>
    <w:rsid w:val="00AE753D"/>
    <w:rsid w:val="00AE78E8"/>
    <w:rsid w:val="00AF0A5E"/>
    <w:rsid w:val="00AF158E"/>
    <w:rsid w:val="00AF1A33"/>
    <w:rsid w:val="00AF2883"/>
    <w:rsid w:val="00AF2972"/>
    <w:rsid w:val="00AF2FA7"/>
    <w:rsid w:val="00AF34BD"/>
    <w:rsid w:val="00AF46FD"/>
    <w:rsid w:val="00AF50D0"/>
    <w:rsid w:val="00AF56D7"/>
    <w:rsid w:val="00AF66A7"/>
    <w:rsid w:val="00AF687B"/>
    <w:rsid w:val="00AF71A4"/>
    <w:rsid w:val="00AF79AB"/>
    <w:rsid w:val="00AF7ED5"/>
    <w:rsid w:val="00B01367"/>
    <w:rsid w:val="00B013FD"/>
    <w:rsid w:val="00B01498"/>
    <w:rsid w:val="00B0182C"/>
    <w:rsid w:val="00B01A9A"/>
    <w:rsid w:val="00B027D9"/>
    <w:rsid w:val="00B036CD"/>
    <w:rsid w:val="00B0395B"/>
    <w:rsid w:val="00B04CC8"/>
    <w:rsid w:val="00B0696B"/>
    <w:rsid w:val="00B0711E"/>
    <w:rsid w:val="00B1168C"/>
    <w:rsid w:val="00B12055"/>
    <w:rsid w:val="00B132A6"/>
    <w:rsid w:val="00B134BB"/>
    <w:rsid w:val="00B15253"/>
    <w:rsid w:val="00B15A9E"/>
    <w:rsid w:val="00B15D03"/>
    <w:rsid w:val="00B1652B"/>
    <w:rsid w:val="00B203BE"/>
    <w:rsid w:val="00B20AD8"/>
    <w:rsid w:val="00B20D12"/>
    <w:rsid w:val="00B210F7"/>
    <w:rsid w:val="00B2175B"/>
    <w:rsid w:val="00B21953"/>
    <w:rsid w:val="00B21D0A"/>
    <w:rsid w:val="00B22D94"/>
    <w:rsid w:val="00B233F4"/>
    <w:rsid w:val="00B25B26"/>
    <w:rsid w:val="00B27FD6"/>
    <w:rsid w:val="00B31345"/>
    <w:rsid w:val="00B31597"/>
    <w:rsid w:val="00B31C55"/>
    <w:rsid w:val="00B31C6B"/>
    <w:rsid w:val="00B3239E"/>
    <w:rsid w:val="00B326B0"/>
    <w:rsid w:val="00B3392B"/>
    <w:rsid w:val="00B33BDC"/>
    <w:rsid w:val="00B341DD"/>
    <w:rsid w:val="00B349A8"/>
    <w:rsid w:val="00B34F45"/>
    <w:rsid w:val="00B351F9"/>
    <w:rsid w:val="00B35461"/>
    <w:rsid w:val="00B3595D"/>
    <w:rsid w:val="00B3624A"/>
    <w:rsid w:val="00B377F6"/>
    <w:rsid w:val="00B4099F"/>
    <w:rsid w:val="00B40D1F"/>
    <w:rsid w:val="00B417AE"/>
    <w:rsid w:val="00B41DF3"/>
    <w:rsid w:val="00B42EB0"/>
    <w:rsid w:val="00B43045"/>
    <w:rsid w:val="00B44AE7"/>
    <w:rsid w:val="00B45096"/>
    <w:rsid w:val="00B452DE"/>
    <w:rsid w:val="00B45944"/>
    <w:rsid w:val="00B45A52"/>
    <w:rsid w:val="00B46876"/>
    <w:rsid w:val="00B46ADA"/>
    <w:rsid w:val="00B518B0"/>
    <w:rsid w:val="00B51B1B"/>
    <w:rsid w:val="00B522DD"/>
    <w:rsid w:val="00B52547"/>
    <w:rsid w:val="00B5262C"/>
    <w:rsid w:val="00B54925"/>
    <w:rsid w:val="00B55838"/>
    <w:rsid w:val="00B565CB"/>
    <w:rsid w:val="00B56942"/>
    <w:rsid w:val="00B572B7"/>
    <w:rsid w:val="00B618D9"/>
    <w:rsid w:val="00B622A2"/>
    <w:rsid w:val="00B63CFC"/>
    <w:rsid w:val="00B66797"/>
    <w:rsid w:val="00B66828"/>
    <w:rsid w:val="00B66B3D"/>
    <w:rsid w:val="00B66C90"/>
    <w:rsid w:val="00B67064"/>
    <w:rsid w:val="00B67752"/>
    <w:rsid w:val="00B70AA9"/>
    <w:rsid w:val="00B71812"/>
    <w:rsid w:val="00B72A1E"/>
    <w:rsid w:val="00B73548"/>
    <w:rsid w:val="00B73F97"/>
    <w:rsid w:val="00B74516"/>
    <w:rsid w:val="00B74775"/>
    <w:rsid w:val="00B7530F"/>
    <w:rsid w:val="00B763CA"/>
    <w:rsid w:val="00B7688A"/>
    <w:rsid w:val="00B77790"/>
    <w:rsid w:val="00B81D46"/>
    <w:rsid w:val="00B82F68"/>
    <w:rsid w:val="00B83E47"/>
    <w:rsid w:val="00B84554"/>
    <w:rsid w:val="00B84898"/>
    <w:rsid w:val="00B8732A"/>
    <w:rsid w:val="00B9119F"/>
    <w:rsid w:val="00B913EF"/>
    <w:rsid w:val="00B9163D"/>
    <w:rsid w:val="00B927CA"/>
    <w:rsid w:val="00B93E81"/>
    <w:rsid w:val="00B94245"/>
    <w:rsid w:val="00B94809"/>
    <w:rsid w:val="00B964FE"/>
    <w:rsid w:val="00B975EC"/>
    <w:rsid w:val="00B97EBF"/>
    <w:rsid w:val="00BA12BD"/>
    <w:rsid w:val="00BA1B07"/>
    <w:rsid w:val="00BA25CB"/>
    <w:rsid w:val="00BA4043"/>
    <w:rsid w:val="00BA59FA"/>
    <w:rsid w:val="00BA5C7C"/>
    <w:rsid w:val="00BA74F9"/>
    <w:rsid w:val="00BB08AC"/>
    <w:rsid w:val="00BB0B12"/>
    <w:rsid w:val="00BB19C5"/>
    <w:rsid w:val="00BB1BAE"/>
    <w:rsid w:val="00BB399B"/>
    <w:rsid w:val="00BB426E"/>
    <w:rsid w:val="00BB44A1"/>
    <w:rsid w:val="00BB765E"/>
    <w:rsid w:val="00BB7A47"/>
    <w:rsid w:val="00BB7A99"/>
    <w:rsid w:val="00BB7D58"/>
    <w:rsid w:val="00BC050B"/>
    <w:rsid w:val="00BC0A16"/>
    <w:rsid w:val="00BC0CC0"/>
    <w:rsid w:val="00BC13AF"/>
    <w:rsid w:val="00BC237D"/>
    <w:rsid w:val="00BC2E82"/>
    <w:rsid w:val="00BC3390"/>
    <w:rsid w:val="00BC4107"/>
    <w:rsid w:val="00BC4FDF"/>
    <w:rsid w:val="00BC64F5"/>
    <w:rsid w:val="00BD08EE"/>
    <w:rsid w:val="00BD0C8A"/>
    <w:rsid w:val="00BD12AE"/>
    <w:rsid w:val="00BD2A9A"/>
    <w:rsid w:val="00BD3B01"/>
    <w:rsid w:val="00BD44C1"/>
    <w:rsid w:val="00BD51AC"/>
    <w:rsid w:val="00BD5885"/>
    <w:rsid w:val="00BD6472"/>
    <w:rsid w:val="00BD75A2"/>
    <w:rsid w:val="00BD7640"/>
    <w:rsid w:val="00BD7A10"/>
    <w:rsid w:val="00BE0D4C"/>
    <w:rsid w:val="00BE0F7C"/>
    <w:rsid w:val="00BE1498"/>
    <w:rsid w:val="00BE2043"/>
    <w:rsid w:val="00BE3C4D"/>
    <w:rsid w:val="00BE4390"/>
    <w:rsid w:val="00BE43B7"/>
    <w:rsid w:val="00BE4698"/>
    <w:rsid w:val="00BE5908"/>
    <w:rsid w:val="00BE5C9D"/>
    <w:rsid w:val="00BE6264"/>
    <w:rsid w:val="00BE66EF"/>
    <w:rsid w:val="00BE6978"/>
    <w:rsid w:val="00BE72C6"/>
    <w:rsid w:val="00BF088B"/>
    <w:rsid w:val="00BF2315"/>
    <w:rsid w:val="00BF2424"/>
    <w:rsid w:val="00BF2E7B"/>
    <w:rsid w:val="00BF4271"/>
    <w:rsid w:val="00BF4430"/>
    <w:rsid w:val="00BF4556"/>
    <w:rsid w:val="00BF6789"/>
    <w:rsid w:val="00BF704D"/>
    <w:rsid w:val="00BF73D9"/>
    <w:rsid w:val="00BF7516"/>
    <w:rsid w:val="00C027D9"/>
    <w:rsid w:val="00C0383B"/>
    <w:rsid w:val="00C05526"/>
    <w:rsid w:val="00C05659"/>
    <w:rsid w:val="00C05B83"/>
    <w:rsid w:val="00C0738E"/>
    <w:rsid w:val="00C07F67"/>
    <w:rsid w:val="00C11682"/>
    <w:rsid w:val="00C144D2"/>
    <w:rsid w:val="00C147C6"/>
    <w:rsid w:val="00C15669"/>
    <w:rsid w:val="00C165D0"/>
    <w:rsid w:val="00C1675D"/>
    <w:rsid w:val="00C16A57"/>
    <w:rsid w:val="00C172EE"/>
    <w:rsid w:val="00C2024D"/>
    <w:rsid w:val="00C20B16"/>
    <w:rsid w:val="00C214E9"/>
    <w:rsid w:val="00C25016"/>
    <w:rsid w:val="00C261CC"/>
    <w:rsid w:val="00C2782B"/>
    <w:rsid w:val="00C27CB2"/>
    <w:rsid w:val="00C27FDD"/>
    <w:rsid w:val="00C30052"/>
    <w:rsid w:val="00C31854"/>
    <w:rsid w:val="00C32061"/>
    <w:rsid w:val="00C32170"/>
    <w:rsid w:val="00C330DA"/>
    <w:rsid w:val="00C334B9"/>
    <w:rsid w:val="00C3451D"/>
    <w:rsid w:val="00C34BD3"/>
    <w:rsid w:val="00C37785"/>
    <w:rsid w:val="00C40002"/>
    <w:rsid w:val="00C406B1"/>
    <w:rsid w:val="00C40B50"/>
    <w:rsid w:val="00C4116E"/>
    <w:rsid w:val="00C41CAC"/>
    <w:rsid w:val="00C4280B"/>
    <w:rsid w:val="00C42890"/>
    <w:rsid w:val="00C43719"/>
    <w:rsid w:val="00C4441D"/>
    <w:rsid w:val="00C44DC6"/>
    <w:rsid w:val="00C44E77"/>
    <w:rsid w:val="00C458B3"/>
    <w:rsid w:val="00C466F4"/>
    <w:rsid w:val="00C46D8D"/>
    <w:rsid w:val="00C512ED"/>
    <w:rsid w:val="00C5135B"/>
    <w:rsid w:val="00C5164A"/>
    <w:rsid w:val="00C5175E"/>
    <w:rsid w:val="00C517F7"/>
    <w:rsid w:val="00C51AB1"/>
    <w:rsid w:val="00C51BB7"/>
    <w:rsid w:val="00C51F7D"/>
    <w:rsid w:val="00C53828"/>
    <w:rsid w:val="00C53E5D"/>
    <w:rsid w:val="00C53FA5"/>
    <w:rsid w:val="00C55860"/>
    <w:rsid w:val="00C560D4"/>
    <w:rsid w:val="00C560E9"/>
    <w:rsid w:val="00C57561"/>
    <w:rsid w:val="00C57869"/>
    <w:rsid w:val="00C61DD7"/>
    <w:rsid w:val="00C6215C"/>
    <w:rsid w:val="00C63D53"/>
    <w:rsid w:val="00C64930"/>
    <w:rsid w:val="00C65853"/>
    <w:rsid w:val="00C66C09"/>
    <w:rsid w:val="00C6758E"/>
    <w:rsid w:val="00C67E00"/>
    <w:rsid w:val="00C7020E"/>
    <w:rsid w:val="00C708D8"/>
    <w:rsid w:val="00C70FA9"/>
    <w:rsid w:val="00C715D6"/>
    <w:rsid w:val="00C719BF"/>
    <w:rsid w:val="00C723F6"/>
    <w:rsid w:val="00C72CC5"/>
    <w:rsid w:val="00C731D2"/>
    <w:rsid w:val="00C742C6"/>
    <w:rsid w:val="00C745AE"/>
    <w:rsid w:val="00C74C80"/>
    <w:rsid w:val="00C771F3"/>
    <w:rsid w:val="00C778E3"/>
    <w:rsid w:val="00C80854"/>
    <w:rsid w:val="00C814FA"/>
    <w:rsid w:val="00C817A4"/>
    <w:rsid w:val="00C81805"/>
    <w:rsid w:val="00C81CC2"/>
    <w:rsid w:val="00C82755"/>
    <w:rsid w:val="00C837F4"/>
    <w:rsid w:val="00C83C2B"/>
    <w:rsid w:val="00C8419D"/>
    <w:rsid w:val="00C85755"/>
    <w:rsid w:val="00C858A5"/>
    <w:rsid w:val="00C85C78"/>
    <w:rsid w:val="00C861C5"/>
    <w:rsid w:val="00C86CAA"/>
    <w:rsid w:val="00C86F3C"/>
    <w:rsid w:val="00C87F10"/>
    <w:rsid w:val="00C90072"/>
    <w:rsid w:val="00C90E7F"/>
    <w:rsid w:val="00C922F0"/>
    <w:rsid w:val="00C93E5A"/>
    <w:rsid w:val="00C94632"/>
    <w:rsid w:val="00C94CA9"/>
    <w:rsid w:val="00C97486"/>
    <w:rsid w:val="00C97731"/>
    <w:rsid w:val="00CA0B54"/>
    <w:rsid w:val="00CA2C27"/>
    <w:rsid w:val="00CA3018"/>
    <w:rsid w:val="00CA5DB9"/>
    <w:rsid w:val="00CA5E8C"/>
    <w:rsid w:val="00CA6D38"/>
    <w:rsid w:val="00CA6D71"/>
    <w:rsid w:val="00CA6E00"/>
    <w:rsid w:val="00CA7A5F"/>
    <w:rsid w:val="00CA7D0E"/>
    <w:rsid w:val="00CB2285"/>
    <w:rsid w:val="00CB2BF3"/>
    <w:rsid w:val="00CB5547"/>
    <w:rsid w:val="00CB5BBE"/>
    <w:rsid w:val="00CB66FD"/>
    <w:rsid w:val="00CB6AD4"/>
    <w:rsid w:val="00CB71F1"/>
    <w:rsid w:val="00CB7D50"/>
    <w:rsid w:val="00CC030C"/>
    <w:rsid w:val="00CC1938"/>
    <w:rsid w:val="00CC1EB2"/>
    <w:rsid w:val="00CC3044"/>
    <w:rsid w:val="00CC3EF2"/>
    <w:rsid w:val="00CD0025"/>
    <w:rsid w:val="00CD05D3"/>
    <w:rsid w:val="00CD0A23"/>
    <w:rsid w:val="00CD11FF"/>
    <w:rsid w:val="00CD1A62"/>
    <w:rsid w:val="00CD1AED"/>
    <w:rsid w:val="00CD27AC"/>
    <w:rsid w:val="00CD3C39"/>
    <w:rsid w:val="00CD3C8E"/>
    <w:rsid w:val="00CD43AB"/>
    <w:rsid w:val="00CD4C11"/>
    <w:rsid w:val="00CD6E04"/>
    <w:rsid w:val="00CD7380"/>
    <w:rsid w:val="00CD7E29"/>
    <w:rsid w:val="00CE034B"/>
    <w:rsid w:val="00CE03DE"/>
    <w:rsid w:val="00CE04B5"/>
    <w:rsid w:val="00CE0666"/>
    <w:rsid w:val="00CE1065"/>
    <w:rsid w:val="00CE16E8"/>
    <w:rsid w:val="00CE172F"/>
    <w:rsid w:val="00CE2623"/>
    <w:rsid w:val="00CE29D6"/>
    <w:rsid w:val="00CE3221"/>
    <w:rsid w:val="00CE3270"/>
    <w:rsid w:val="00CE35EB"/>
    <w:rsid w:val="00CE59B6"/>
    <w:rsid w:val="00CE5B5A"/>
    <w:rsid w:val="00CE5CC2"/>
    <w:rsid w:val="00CE6C2B"/>
    <w:rsid w:val="00CE70C3"/>
    <w:rsid w:val="00CE75D1"/>
    <w:rsid w:val="00CF28FF"/>
    <w:rsid w:val="00CF4607"/>
    <w:rsid w:val="00CF4B38"/>
    <w:rsid w:val="00CF51CB"/>
    <w:rsid w:val="00CF5E26"/>
    <w:rsid w:val="00CF5EF2"/>
    <w:rsid w:val="00CF7144"/>
    <w:rsid w:val="00CF756D"/>
    <w:rsid w:val="00D008EC"/>
    <w:rsid w:val="00D0140E"/>
    <w:rsid w:val="00D014E6"/>
    <w:rsid w:val="00D01B07"/>
    <w:rsid w:val="00D034A2"/>
    <w:rsid w:val="00D05406"/>
    <w:rsid w:val="00D05832"/>
    <w:rsid w:val="00D06443"/>
    <w:rsid w:val="00D06737"/>
    <w:rsid w:val="00D06BF6"/>
    <w:rsid w:val="00D071B5"/>
    <w:rsid w:val="00D1086C"/>
    <w:rsid w:val="00D126D3"/>
    <w:rsid w:val="00D1526D"/>
    <w:rsid w:val="00D1656D"/>
    <w:rsid w:val="00D16E9E"/>
    <w:rsid w:val="00D16EBB"/>
    <w:rsid w:val="00D16F6F"/>
    <w:rsid w:val="00D1740D"/>
    <w:rsid w:val="00D20037"/>
    <w:rsid w:val="00D203FB"/>
    <w:rsid w:val="00D22575"/>
    <w:rsid w:val="00D227A3"/>
    <w:rsid w:val="00D22A5D"/>
    <w:rsid w:val="00D23C5C"/>
    <w:rsid w:val="00D2492E"/>
    <w:rsid w:val="00D249A2"/>
    <w:rsid w:val="00D24A1D"/>
    <w:rsid w:val="00D25995"/>
    <w:rsid w:val="00D25A00"/>
    <w:rsid w:val="00D27046"/>
    <w:rsid w:val="00D306E6"/>
    <w:rsid w:val="00D31376"/>
    <w:rsid w:val="00D32BC5"/>
    <w:rsid w:val="00D32DFB"/>
    <w:rsid w:val="00D33988"/>
    <w:rsid w:val="00D33B0E"/>
    <w:rsid w:val="00D3437B"/>
    <w:rsid w:val="00D35319"/>
    <w:rsid w:val="00D36780"/>
    <w:rsid w:val="00D37F3D"/>
    <w:rsid w:val="00D37FF6"/>
    <w:rsid w:val="00D40780"/>
    <w:rsid w:val="00D410CB"/>
    <w:rsid w:val="00D43317"/>
    <w:rsid w:val="00D4531F"/>
    <w:rsid w:val="00D45A58"/>
    <w:rsid w:val="00D46B4E"/>
    <w:rsid w:val="00D479A0"/>
    <w:rsid w:val="00D51199"/>
    <w:rsid w:val="00D52C65"/>
    <w:rsid w:val="00D53224"/>
    <w:rsid w:val="00D5397F"/>
    <w:rsid w:val="00D53B7B"/>
    <w:rsid w:val="00D54752"/>
    <w:rsid w:val="00D54A00"/>
    <w:rsid w:val="00D557A1"/>
    <w:rsid w:val="00D56D5F"/>
    <w:rsid w:val="00D570AE"/>
    <w:rsid w:val="00D5741E"/>
    <w:rsid w:val="00D57A0C"/>
    <w:rsid w:val="00D6183A"/>
    <w:rsid w:val="00D62311"/>
    <w:rsid w:val="00D6249E"/>
    <w:rsid w:val="00D648FD"/>
    <w:rsid w:val="00D64B07"/>
    <w:rsid w:val="00D65CB4"/>
    <w:rsid w:val="00D65CFC"/>
    <w:rsid w:val="00D70CED"/>
    <w:rsid w:val="00D7117F"/>
    <w:rsid w:val="00D722E6"/>
    <w:rsid w:val="00D723F6"/>
    <w:rsid w:val="00D732A9"/>
    <w:rsid w:val="00D73DBB"/>
    <w:rsid w:val="00D74852"/>
    <w:rsid w:val="00D7588D"/>
    <w:rsid w:val="00D75F40"/>
    <w:rsid w:val="00D7630E"/>
    <w:rsid w:val="00D764F3"/>
    <w:rsid w:val="00D76843"/>
    <w:rsid w:val="00D80B3B"/>
    <w:rsid w:val="00D813BB"/>
    <w:rsid w:val="00D8207E"/>
    <w:rsid w:val="00D82877"/>
    <w:rsid w:val="00D83DA0"/>
    <w:rsid w:val="00D878DA"/>
    <w:rsid w:val="00D8790F"/>
    <w:rsid w:val="00D903FB"/>
    <w:rsid w:val="00D9054A"/>
    <w:rsid w:val="00D9164D"/>
    <w:rsid w:val="00D919A7"/>
    <w:rsid w:val="00D922BD"/>
    <w:rsid w:val="00D92CD4"/>
    <w:rsid w:val="00D9334E"/>
    <w:rsid w:val="00D93C0E"/>
    <w:rsid w:val="00D93CD1"/>
    <w:rsid w:val="00D943D5"/>
    <w:rsid w:val="00D94738"/>
    <w:rsid w:val="00D95DFE"/>
    <w:rsid w:val="00D96DAC"/>
    <w:rsid w:val="00D96E5A"/>
    <w:rsid w:val="00DA11CE"/>
    <w:rsid w:val="00DA1D55"/>
    <w:rsid w:val="00DA21B4"/>
    <w:rsid w:val="00DA22C9"/>
    <w:rsid w:val="00DA30CD"/>
    <w:rsid w:val="00DA429C"/>
    <w:rsid w:val="00DA4DDF"/>
    <w:rsid w:val="00DA5592"/>
    <w:rsid w:val="00DA60C8"/>
    <w:rsid w:val="00DA635C"/>
    <w:rsid w:val="00DA635D"/>
    <w:rsid w:val="00DA64C5"/>
    <w:rsid w:val="00DA6A83"/>
    <w:rsid w:val="00DA7A01"/>
    <w:rsid w:val="00DB1DFE"/>
    <w:rsid w:val="00DB2DB7"/>
    <w:rsid w:val="00DB4FA3"/>
    <w:rsid w:val="00DB5FA8"/>
    <w:rsid w:val="00DB69F6"/>
    <w:rsid w:val="00DC1605"/>
    <w:rsid w:val="00DC2440"/>
    <w:rsid w:val="00DC2BC4"/>
    <w:rsid w:val="00DC4F14"/>
    <w:rsid w:val="00DC5523"/>
    <w:rsid w:val="00DC5A2A"/>
    <w:rsid w:val="00DC65BF"/>
    <w:rsid w:val="00DC6A1C"/>
    <w:rsid w:val="00DC716F"/>
    <w:rsid w:val="00DC7445"/>
    <w:rsid w:val="00DD00BA"/>
    <w:rsid w:val="00DD091A"/>
    <w:rsid w:val="00DD09E1"/>
    <w:rsid w:val="00DD1A42"/>
    <w:rsid w:val="00DD250A"/>
    <w:rsid w:val="00DD3131"/>
    <w:rsid w:val="00DD36E9"/>
    <w:rsid w:val="00DD3DE9"/>
    <w:rsid w:val="00DD3ED9"/>
    <w:rsid w:val="00DD4DE6"/>
    <w:rsid w:val="00DD555E"/>
    <w:rsid w:val="00DD5AF3"/>
    <w:rsid w:val="00DD70DE"/>
    <w:rsid w:val="00DE01EB"/>
    <w:rsid w:val="00DE262C"/>
    <w:rsid w:val="00DE41DA"/>
    <w:rsid w:val="00DE5018"/>
    <w:rsid w:val="00DE595D"/>
    <w:rsid w:val="00DE5C2E"/>
    <w:rsid w:val="00DE5CE6"/>
    <w:rsid w:val="00DE641F"/>
    <w:rsid w:val="00DF03F0"/>
    <w:rsid w:val="00DF2420"/>
    <w:rsid w:val="00DF24D8"/>
    <w:rsid w:val="00DF25E0"/>
    <w:rsid w:val="00DF4180"/>
    <w:rsid w:val="00DF46CD"/>
    <w:rsid w:val="00DF5D13"/>
    <w:rsid w:val="00DF5F18"/>
    <w:rsid w:val="00DF7196"/>
    <w:rsid w:val="00DF76B8"/>
    <w:rsid w:val="00DF76EE"/>
    <w:rsid w:val="00E010EC"/>
    <w:rsid w:val="00E018EF"/>
    <w:rsid w:val="00E01C86"/>
    <w:rsid w:val="00E02C1B"/>
    <w:rsid w:val="00E0730D"/>
    <w:rsid w:val="00E077AA"/>
    <w:rsid w:val="00E118F5"/>
    <w:rsid w:val="00E11B6C"/>
    <w:rsid w:val="00E125FF"/>
    <w:rsid w:val="00E127C8"/>
    <w:rsid w:val="00E13BCB"/>
    <w:rsid w:val="00E14015"/>
    <w:rsid w:val="00E16600"/>
    <w:rsid w:val="00E16F2D"/>
    <w:rsid w:val="00E2022A"/>
    <w:rsid w:val="00E20A6E"/>
    <w:rsid w:val="00E22283"/>
    <w:rsid w:val="00E22F22"/>
    <w:rsid w:val="00E2572A"/>
    <w:rsid w:val="00E25DC0"/>
    <w:rsid w:val="00E2638A"/>
    <w:rsid w:val="00E26D28"/>
    <w:rsid w:val="00E26FB3"/>
    <w:rsid w:val="00E274C8"/>
    <w:rsid w:val="00E30819"/>
    <w:rsid w:val="00E3105B"/>
    <w:rsid w:val="00E313E7"/>
    <w:rsid w:val="00E31CEE"/>
    <w:rsid w:val="00E32213"/>
    <w:rsid w:val="00E329AC"/>
    <w:rsid w:val="00E330D4"/>
    <w:rsid w:val="00E34F70"/>
    <w:rsid w:val="00E359EA"/>
    <w:rsid w:val="00E364F7"/>
    <w:rsid w:val="00E37469"/>
    <w:rsid w:val="00E401ED"/>
    <w:rsid w:val="00E4044B"/>
    <w:rsid w:val="00E41CCC"/>
    <w:rsid w:val="00E444EE"/>
    <w:rsid w:val="00E45133"/>
    <w:rsid w:val="00E45BC1"/>
    <w:rsid w:val="00E4663A"/>
    <w:rsid w:val="00E47AF5"/>
    <w:rsid w:val="00E47FC6"/>
    <w:rsid w:val="00E5004D"/>
    <w:rsid w:val="00E50EDC"/>
    <w:rsid w:val="00E51140"/>
    <w:rsid w:val="00E5119E"/>
    <w:rsid w:val="00E51CE5"/>
    <w:rsid w:val="00E52E9F"/>
    <w:rsid w:val="00E52EBC"/>
    <w:rsid w:val="00E536DE"/>
    <w:rsid w:val="00E53D6B"/>
    <w:rsid w:val="00E545FA"/>
    <w:rsid w:val="00E548F8"/>
    <w:rsid w:val="00E55640"/>
    <w:rsid w:val="00E55CB3"/>
    <w:rsid w:val="00E56649"/>
    <w:rsid w:val="00E573EC"/>
    <w:rsid w:val="00E60C35"/>
    <w:rsid w:val="00E616A0"/>
    <w:rsid w:val="00E639CE"/>
    <w:rsid w:val="00E641A4"/>
    <w:rsid w:val="00E65EE3"/>
    <w:rsid w:val="00E670C3"/>
    <w:rsid w:val="00E70423"/>
    <w:rsid w:val="00E706AA"/>
    <w:rsid w:val="00E70A0D"/>
    <w:rsid w:val="00E71AC7"/>
    <w:rsid w:val="00E726BC"/>
    <w:rsid w:val="00E72B21"/>
    <w:rsid w:val="00E72BB2"/>
    <w:rsid w:val="00E752FB"/>
    <w:rsid w:val="00E76B72"/>
    <w:rsid w:val="00E76D59"/>
    <w:rsid w:val="00E77066"/>
    <w:rsid w:val="00E778D7"/>
    <w:rsid w:val="00E7798E"/>
    <w:rsid w:val="00E77D0F"/>
    <w:rsid w:val="00E80105"/>
    <w:rsid w:val="00E80E49"/>
    <w:rsid w:val="00E81D6A"/>
    <w:rsid w:val="00E82820"/>
    <w:rsid w:val="00E83C1B"/>
    <w:rsid w:val="00E85E18"/>
    <w:rsid w:val="00E86166"/>
    <w:rsid w:val="00E87A0A"/>
    <w:rsid w:val="00E90141"/>
    <w:rsid w:val="00E90593"/>
    <w:rsid w:val="00E914D8"/>
    <w:rsid w:val="00E93135"/>
    <w:rsid w:val="00E9320B"/>
    <w:rsid w:val="00E934A1"/>
    <w:rsid w:val="00E9495D"/>
    <w:rsid w:val="00E94BDF"/>
    <w:rsid w:val="00E94BF3"/>
    <w:rsid w:val="00E9612D"/>
    <w:rsid w:val="00E96DBE"/>
    <w:rsid w:val="00EA12D0"/>
    <w:rsid w:val="00EA2194"/>
    <w:rsid w:val="00EA27FF"/>
    <w:rsid w:val="00EA4084"/>
    <w:rsid w:val="00EA434D"/>
    <w:rsid w:val="00EA4D93"/>
    <w:rsid w:val="00EA5A69"/>
    <w:rsid w:val="00EA5AAB"/>
    <w:rsid w:val="00EA6285"/>
    <w:rsid w:val="00EA7D1C"/>
    <w:rsid w:val="00EB0591"/>
    <w:rsid w:val="00EB0779"/>
    <w:rsid w:val="00EB12FD"/>
    <w:rsid w:val="00EB3255"/>
    <w:rsid w:val="00EB55F4"/>
    <w:rsid w:val="00EB5918"/>
    <w:rsid w:val="00EB603E"/>
    <w:rsid w:val="00EC064B"/>
    <w:rsid w:val="00EC0CCA"/>
    <w:rsid w:val="00EC1EF6"/>
    <w:rsid w:val="00EC2ED7"/>
    <w:rsid w:val="00EC3338"/>
    <w:rsid w:val="00EC3E7E"/>
    <w:rsid w:val="00EC5901"/>
    <w:rsid w:val="00EC6E50"/>
    <w:rsid w:val="00EC6E88"/>
    <w:rsid w:val="00EC740C"/>
    <w:rsid w:val="00ED08EE"/>
    <w:rsid w:val="00ED1694"/>
    <w:rsid w:val="00ED17A4"/>
    <w:rsid w:val="00ED2DC9"/>
    <w:rsid w:val="00ED4B5C"/>
    <w:rsid w:val="00ED5677"/>
    <w:rsid w:val="00ED5C47"/>
    <w:rsid w:val="00ED5D1F"/>
    <w:rsid w:val="00ED5FFF"/>
    <w:rsid w:val="00ED7530"/>
    <w:rsid w:val="00ED780F"/>
    <w:rsid w:val="00EE0262"/>
    <w:rsid w:val="00EE0656"/>
    <w:rsid w:val="00EE2462"/>
    <w:rsid w:val="00EE25A7"/>
    <w:rsid w:val="00EE28CD"/>
    <w:rsid w:val="00EE28DF"/>
    <w:rsid w:val="00EE2FF9"/>
    <w:rsid w:val="00EE42AE"/>
    <w:rsid w:val="00EE449E"/>
    <w:rsid w:val="00EE5366"/>
    <w:rsid w:val="00EE61EA"/>
    <w:rsid w:val="00EE6D1A"/>
    <w:rsid w:val="00EE6F1A"/>
    <w:rsid w:val="00EF010A"/>
    <w:rsid w:val="00EF0508"/>
    <w:rsid w:val="00EF0735"/>
    <w:rsid w:val="00EF19C3"/>
    <w:rsid w:val="00EF3630"/>
    <w:rsid w:val="00EF3A6A"/>
    <w:rsid w:val="00EF3EA7"/>
    <w:rsid w:val="00EF41E7"/>
    <w:rsid w:val="00EF4867"/>
    <w:rsid w:val="00EF64DB"/>
    <w:rsid w:val="00EF6CCD"/>
    <w:rsid w:val="00EF7A40"/>
    <w:rsid w:val="00F005C2"/>
    <w:rsid w:val="00F007A0"/>
    <w:rsid w:val="00F02197"/>
    <w:rsid w:val="00F02C19"/>
    <w:rsid w:val="00F03758"/>
    <w:rsid w:val="00F038E8"/>
    <w:rsid w:val="00F04F88"/>
    <w:rsid w:val="00F0592F"/>
    <w:rsid w:val="00F06910"/>
    <w:rsid w:val="00F10298"/>
    <w:rsid w:val="00F1076D"/>
    <w:rsid w:val="00F11C09"/>
    <w:rsid w:val="00F11DD5"/>
    <w:rsid w:val="00F12BB5"/>
    <w:rsid w:val="00F13263"/>
    <w:rsid w:val="00F13424"/>
    <w:rsid w:val="00F1395C"/>
    <w:rsid w:val="00F14046"/>
    <w:rsid w:val="00F1428A"/>
    <w:rsid w:val="00F14941"/>
    <w:rsid w:val="00F15F39"/>
    <w:rsid w:val="00F171ED"/>
    <w:rsid w:val="00F2121A"/>
    <w:rsid w:val="00F22C01"/>
    <w:rsid w:val="00F22E10"/>
    <w:rsid w:val="00F2355A"/>
    <w:rsid w:val="00F24427"/>
    <w:rsid w:val="00F24B66"/>
    <w:rsid w:val="00F252DC"/>
    <w:rsid w:val="00F271A6"/>
    <w:rsid w:val="00F27C99"/>
    <w:rsid w:val="00F3031A"/>
    <w:rsid w:val="00F31401"/>
    <w:rsid w:val="00F31BC5"/>
    <w:rsid w:val="00F33AE8"/>
    <w:rsid w:val="00F33D74"/>
    <w:rsid w:val="00F343A4"/>
    <w:rsid w:val="00F346DF"/>
    <w:rsid w:val="00F34866"/>
    <w:rsid w:val="00F353CB"/>
    <w:rsid w:val="00F358F5"/>
    <w:rsid w:val="00F368D2"/>
    <w:rsid w:val="00F36F09"/>
    <w:rsid w:val="00F40614"/>
    <w:rsid w:val="00F41A2E"/>
    <w:rsid w:val="00F41F4C"/>
    <w:rsid w:val="00F43C9D"/>
    <w:rsid w:val="00F43CB0"/>
    <w:rsid w:val="00F4433D"/>
    <w:rsid w:val="00F44371"/>
    <w:rsid w:val="00F444DA"/>
    <w:rsid w:val="00F4466A"/>
    <w:rsid w:val="00F449AB"/>
    <w:rsid w:val="00F457F9"/>
    <w:rsid w:val="00F45BEC"/>
    <w:rsid w:val="00F4733E"/>
    <w:rsid w:val="00F47872"/>
    <w:rsid w:val="00F47D4D"/>
    <w:rsid w:val="00F50C4E"/>
    <w:rsid w:val="00F51BF8"/>
    <w:rsid w:val="00F529FF"/>
    <w:rsid w:val="00F546CD"/>
    <w:rsid w:val="00F57E31"/>
    <w:rsid w:val="00F6189F"/>
    <w:rsid w:val="00F6400D"/>
    <w:rsid w:val="00F64205"/>
    <w:rsid w:val="00F649AB"/>
    <w:rsid w:val="00F649AE"/>
    <w:rsid w:val="00F64D40"/>
    <w:rsid w:val="00F6519E"/>
    <w:rsid w:val="00F65844"/>
    <w:rsid w:val="00F661A9"/>
    <w:rsid w:val="00F66C97"/>
    <w:rsid w:val="00F67438"/>
    <w:rsid w:val="00F67C7A"/>
    <w:rsid w:val="00F70428"/>
    <w:rsid w:val="00F71803"/>
    <w:rsid w:val="00F718D9"/>
    <w:rsid w:val="00F72027"/>
    <w:rsid w:val="00F75FB7"/>
    <w:rsid w:val="00F76070"/>
    <w:rsid w:val="00F761AA"/>
    <w:rsid w:val="00F8016F"/>
    <w:rsid w:val="00F80B90"/>
    <w:rsid w:val="00F8372C"/>
    <w:rsid w:val="00F84B3F"/>
    <w:rsid w:val="00F8529B"/>
    <w:rsid w:val="00F85533"/>
    <w:rsid w:val="00F859E0"/>
    <w:rsid w:val="00F85F4B"/>
    <w:rsid w:val="00F86818"/>
    <w:rsid w:val="00F86E15"/>
    <w:rsid w:val="00F9098E"/>
    <w:rsid w:val="00F90AE9"/>
    <w:rsid w:val="00F9161D"/>
    <w:rsid w:val="00F924FE"/>
    <w:rsid w:val="00F931CA"/>
    <w:rsid w:val="00F93EFD"/>
    <w:rsid w:val="00F943A2"/>
    <w:rsid w:val="00F94E8C"/>
    <w:rsid w:val="00F95D28"/>
    <w:rsid w:val="00F95F83"/>
    <w:rsid w:val="00F9654F"/>
    <w:rsid w:val="00F96853"/>
    <w:rsid w:val="00F97C17"/>
    <w:rsid w:val="00FA0D23"/>
    <w:rsid w:val="00FA1B4D"/>
    <w:rsid w:val="00FA2C5E"/>
    <w:rsid w:val="00FA3719"/>
    <w:rsid w:val="00FA389D"/>
    <w:rsid w:val="00FA5FF5"/>
    <w:rsid w:val="00FA67CF"/>
    <w:rsid w:val="00FA68F0"/>
    <w:rsid w:val="00FA734D"/>
    <w:rsid w:val="00FA7927"/>
    <w:rsid w:val="00FA7FD3"/>
    <w:rsid w:val="00FB0DAA"/>
    <w:rsid w:val="00FB0FDE"/>
    <w:rsid w:val="00FB2349"/>
    <w:rsid w:val="00FB41F7"/>
    <w:rsid w:val="00FB43F5"/>
    <w:rsid w:val="00FB4CED"/>
    <w:rsid w:val="00FB5B65"/>
    <w:rsid w:val="00FB5F5E"/>
    <w:rsid w:val="00FB63CE"/>
    <w:rsid w:val="00FB6D09"/>
    <w:rsid w:val="00FC0880"/>
    <w:rsid w:val="00FC0E38"/>
    <w:rsid w:val="00FC120E"/>
    <w:rsid w:val="00FC1CA8"/>
    <w:rsid w:val="00FC3D8A"/>
    <w:rsid w:val="00FC51F1"/>
    <w:rsid w:val="00FC52DE"/>
    <w:rsid w:val="00FC546D"/>
    <w:rsid w:val="00FC5F03"/>
    <w:rsid w:val="00FC6FBE"/>
    <w:rsid w:val="00FC777B"/>
    <w:rsid w:val="00FD0619"/>
    <w:rsid w:val="00FD1E43"/>
    <w:rsid w:val="00FD3BC6"/>
    <w:rsid w:val="00FD51F5"/>
    <w:rsid w:val="00FD52EC"/>
    <w:rsid w:val="00FD5925"/>
    <w:rsid w:val="00FD7C43"/>
    <w:rsid w:val="00FE0107"/>
    <w:rsid w:val="00FE038D"/>
    <w:rsid w:val="00FE10BF"/>
    <w:rsid w:val="00FE2316"/>
    <w:rsid w:val="00FE2F50"/>
    <w:rsid w:val="00FE369E"/>
    <w:rsid w:val="00FE390E"/>
    <w:rsid w:val="00FE4DB2"/>
    <w:rsid w:val="00FE60F6"/>
    <w:rsid w:val="00FE69E9"/>
    <w:rsid w:val="00FE7686"/>
    <w:rsid w:val="00FF09D2"/>
    <w:rsid w:val="00FF38F6"/>
    <w:rsid w:val="00FF3C7E"/>
    <w:rsid w:val="00FF54DC"/>
    <w:rsid w:val="00FF5CB1"/>
    <w:rsid w:val="00FF5E99"/>
    <w:rsid w:val="00FF6A49"/>
    <w:rsid w:val="00FF75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9C"/>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rsid w:val="009E1829"/>
    <w:pPr>
      <w:keepNext/>
      <w:keepLines/>
      <w:numPr>
        <w:numId w:val="4"/>
      </w:numPr>
      <w:spacing w:before="480"/>
      <w:outlineLvl w:val="0"/>
    </w:pPr>
    <w:rPr>
      <w:rFonts w:asciiTheme="minorHAnsi" w:eastAsiaTheme="majorEastAsia" w:hAnsiTheme="minorHAnsi" w:cstheme="majorBidi"/>
      <w:b/>
      <w:bCs/>
      <w:color w:val="000000" w:themeColor="text1"/>
      <w:sz w:val="24"/>
      <w:szCs w:val="24"/>
    </w:rPr>
  </w:style>
  <w:style w:type="paragraph" w:styleId="Heading2">
    <w:name w:val="heading 2"/>
    <w:basedOn w:val="Normal"/>
    <w:next w:val="Normal"/>
    <w:link w:val="Heading2Char"/>
    <w:uiPriority w:val="9"/>
    <w:qFormat/>
    <w:rsid w:val="00F22E10"/>
    <w:pPr>
      <w:keepNext/>
      <w:keepLines/>
      <w:numPr>
        <w:ilvl w:val="1"/>
        <w:numId w:val="4"/>
      </w:numPr>
      <w:spacing w:line="276" w:lineRule="auto"/>
      <w:ind w:left="578" w:hanging="578"/>
      <w:outlineLvl w:val="1"/>
    </w:pPr>
    <w:rPr>
      <w:rFonts w:asciiTheme="minorHAnsi" w:eastAsia="Times New Roman" w:hAnsiTheme="minorHAnsi"/>
      <w:b/>
      <w:bCs/>
      <w:i/>
      <w:color w:val="000000" w:themeColor="text1"/>
      <w:u w:val="single"/>
    </w:rPr>
  </w:style>
  <w:style w:type="paragraph" w:styleId="Heading3">
    <w:name w:val="heading 3"/>
    <w:basedOn w:val="Normal"/>
    <w:next w:val="Normal"/>
    <w:link w:val="Heading3Char"/>
    <w:uiPriority w:val="9"/>
    <w:unhideWhenUsed/>
    <w:qFormat/>
    <w:rsid w:val="000B465F"/>
    <w:pPr>
      <w:keepNext/>
      <w:keepLines/>
      <w:numPr>
        <w:ilvl w:val="2"/>
        <w:numId w:val="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rsid w:val="005455E5"/>
    <w:pPr>
      <w:keepNext/>
      <w:numPr>
        <w:ilvl w:val="3"/>
        <w:numId w:val="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rsid w:val="00A52058"/>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2058"/>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205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2058"/>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2058"/>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lang w:eastAsia="en-GB"/>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rsid w:val="009518A5"/>
    <w:pPr>
      <w:ind w:left="720"/>
    </w:pPr>
  </w:style>
  <w:style w:type="character" w:customStyle="1" w:styleId="Heading1Char">
    <w:name w:val="Heading 1 Char"/>
    <w:basedOn w:val="DefaultParagraphFont"/>
    <w:link w:val="Heading1"/>
    <w:uiPriority w:val="9"/>
    <w:rsid w:val="009E1829"/>
    <w:rPr>
      <w:rFonts w:eastAsiaTheme="majorEastAsia" w:cstheme="majorBidi"/>
      <w:b/>
      <w:bCs/>
      <w:color w:val="000000" w:themeColor="text1"/>
      <w:sz w:val="24"/>
      <w:szCs w:val="24"/>
    </w:rPr>
  </w:style>
  <w:style w:type="paragraph" w:styleId="TOCHeading">
    <w:name w:val="TOC Heading"/>
    <w:basedOn w:val="Heading1"/>
    <w:next w:val="Normal"/>
    <w:uiPriority w:val="39"/>
    <w:qFormat/>
    <w:rsid w:val="009518A5"/>
    <w:pPr>
      <w:spacing w:line="276" w:lineRule="auto"/>
      <w:outlineLvl w:val="9"/>
    </w:pPr>
    <w:rPr>
      <w:lang w:val="en-US" w:eastAsia="ja-JP"/>
    </w:r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2Char">
    <w:name w:val="Heading 2 Char"/>
    <w:basedOn w:val="DefaultParagraphFont"/>
    <w:link w:val="Heading2"/>
    <w:uiPriority w:val="9"/>
    <w:rsid w:val="00F22E10"/>
    <w:rPr>
      <w:rFonts w:eastAsia="Times New Roman" w:cs="Times New Roman"/>
      <w:b/>
      <w:bCs/>
      <w:i/>
      <w:color w:val="000000" w:themeColor="text1"/>
      <w:u w:val="single"/>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t,f"/>
    <w:basedOn w:val="Normal"/>
    <w:link w:val="FootnoteTextChar"/>
    <w:uiPriority w:val="99"/>
    <w:qFormat/>
    <w:rsid w:val="009518A5"/>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t Char,f Char"/>
    <w:basedOn w:val="DefaultParagraphFont"/>
    <w:link w:val="FootnoteText"/>
    <w:uiPriority w:val="99"/>
    <w:rsid w:val="009518A5"/>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Footnote number"/>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character" w:customStyle="1" w:styleId="Heading3Char">
    <w:name w:val="Heading 3 Char"/>
    <w:basedOn w:val="DefaultParagraphFont"/>
    <w:link w:val="Heading3"/>
    <w:uiPriority w:val="9"/>
    <w:rsid w:val="000B465F"/>
    <w:rPr>
      <w:rFonts w:eastAsiaTheme="majorEastAsia" w:cstheme="majorBidi"/>
      <w:bCs/>
      <w:i/>
      <w:u w:val="single"/>
    </w:rPr>
  </w:style>
  <w:style w:type="table" w:styleId="TableGrid">
    <w:name w:val="Table Grid"/>
    <w:basedOn w:val="TableNormal"/>
    <w:uiPriority w:val="59"/>
    <w:rsid w:val="0089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E09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customStyle="1" w:styleId="Marker">
    <w:name w:val="Marker"/>
    <w:basedOn w:val="DefaultParagraphFont"/>
    <w:rsid w:val="002E2151"/>
    <w:rPr>
      <w:color w:val="0000FF"/>
      <w:shd w:val="clear" w:color="auto" w:fill="auto"/>
    </w:rPr>
  </w:style>
  <w:style w:type="paragraph" w:customStyle="1" w:styleId="Pagedecouverture">
    <w:name w:val="Page de couverture"/>
    <w:basedOn w:val="Normal"/>
    <w:next w:val="Normal"/>
    <w:rsid w:val="002E2151"/>
    <w:rPr>
      <w:rFonts w:ascii="Times New Roman" w:hAnsi="Times New Roman"/>
      <w:sz w:val="24"/>
    </w:rPr>
  </w:style>
  <w:style w:type="paragraph" w:customStyle="1" w:styleId="FooterCoverPage">
    <w:name w:val="Footer Cover Page"/>
    <w:basedOn w:val="Normal"/>
    <w:link w:val="FooterCoverPageChar"/>
    <w:rsid w:val="002E2151"/>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sid w:val="002E2151"/>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rsid w:val="002E2151"/>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sid w:val="002E2151"/>
    <w:rPr>
      <w:rFonts w:ascii="Times New Roman" w:eastAsia="Times New Roman" w:hAnsi="Times New Roman" w:cs="Times New Roman"/>
      <w:smallCaps/>
      <w:sz w:val="24"/>
      <w:szCs w:val="28"/>
    </w:rPr>
  </w:style>
  <w:style w:type="character" w:customStyle="1" w:styleId="tgc">
    <w:name w:val="_tgc"/>
    <w:basedOn w:val="DefaultParagraphFont"/>
    <w:rsid w:val="00125B9E"/>
  </w:style>
  <w:style w:type="paragraph" w:customStyle="1" w:styleId="Point0number">
    <w:name w:val="Point 0 (number)"/>
    <w:basedOn w:val="Normal"/>
    <w:rsid w:val="009E4C34"/>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rsid w:val="009E4C34"/>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rsid w:val="009E4C34"/>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rsid w:val="009E4C34"/>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rsid w:val="009E4C34"/>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rsid w:val="009E4C34"/>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rsid w:val="009E4C34"/>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rsid w:val="009E4C34"/>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rsid w:val="009E4C34"/>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rsid w:val="00BB08AC"/>
    <w:pPr>
      <w:spacing w:before="120" w:after="120"/>
    </w:pPr>
    <w:rPr>
      <w:rFonts w:ascii="Times New Roman" w:eastAsia="Times New Roman" w:hAnsi="Times New Roman"/>
      <w:sz w:val="24"/>
      <w:szCs w:val="24"/>
    </w:rPr>
  </w:style>
  <w:style w:type="paragraph" w:customStyle="1" w:styleId="Default">
    <w:name w:val="Default"/>
    <w:rsid w:val="009249D0"/>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764901"/>
    <w:rPr>
      <w:sz w:val="20"/>
      <w:szCs w:val="20"/>
    </w:rPr>
  </w:style>
  <w:style w:type="character" w:customStyle="1" w:styleId="EndnoteTextChar">
    <w:name w:val="Endnote Text Char"/>
    <w:basedOn w:val="DefaultParagraphFont"/>
    <w:link w:val="EndnoteText"/>
    <w:uiPriority w:val="99"/>
    <w:semiHidden/>
    <w:rsid w:val="00764901"/>
    <w:rPr>
      <w:rFonts w:ascii="Calibri" w:hAnsi="Calibri" w:cs="Times New Roman"/>
      <w:sz w:val="20"/>
      <w:szCs w:val="20"/>
    </w:rPr>
  </w:style>
  <w:style w:type="character" w:styleId="EndnoteReference">
    <w:name w:val="endnote reference"/>
    <w:basedOn w:val="DefaultParagraphFont"/>
    <w:uiPriority w:val="99"/>
    <w:semiHidden/>
    <w:unhideWhenUsed/>
    <w:rsid w:val="00764901"/>
    <w:rPr>
      <w:vertAlign w:val="superscript"/>
    </w:rPr>
  </w:style>
  <w:style w:type="paragraph" w:styleId="NoSpacing">
    <w:name w:val="No Spacing"/>
    <w:uiPriority w:val="1"/>
    <w:qFormat/>
    <w:rsid w:val="009518A5"/>
    <w:pPr>
      <w:spacing w:after="0" w:line="240" w:lineRule="auto"/>
    </w:pPr>
    <w:rPr>
      <w:rFonts w:ascii="Calibri" w:hAnsi="Calibri" w:cs="Times New Roman"/>
    </w:rPr>
  </w:style>
  <w:style w:type="paragraph" w:styleId="Quote">
    <w:name w:val="Quote"/>
    <w:basedOn w:val="Normal"/>
    <w:next w:val="Normal"/>
    <w:link w:val="QuoteChar"/>
    <w:uiPriority w:val="29"/>
    <w:qFormat/>
    <w:rsid w:val="00C778E3"/>
    <w:rPr>
      <w:i/>
      <w:iCs/>
      <w:color w:val="000000" w:themeColor="text1"/>
    </w:rPr>
  </w:style>
  <w:style w:type="character" w:customStyle="1" w:styleId="QuoteChar">
    <w:name w:val="Quote Char"/>
    <w:basedOn w:val="DefaultParagraphFont"/>
    <w:link w:val="Quote"/>
    <w:uiPriority w:val="29"/>
    <w:rsid w:val="00C778E3"/>
    <w:rPr>
      <w:rFonts w:ascii="Calibri" w:hAnsi="Calibri" w:cs="Times New Roman"/>
      <w:i/>
      <w:iCs/>
      <w:color w:val="000000" w:themeColor="text1"/>
    </w:rPr>
  </w:style>
  <w:style w:type="character" w:customStyle="1" w:styleId="Heading4Char">
    <w:name w:val="Heading 4 Char"/>
    <w:basedOn w:val="DefaultParagraphFont"/>
    <w:link w:val="Heading4"/>
    <w:uiPriority w:val="9"/>
    <w:rsid w:val="005455E5"/>
    <w:rPr>
      <w:rFonts w:ascii="Times New Roman" w:eastAsia="Times New Roman" w:hAnsi="Times New Roman" w:cs="Times New Roman"/>
      <w:sz w:val="24"/>
      <w:szCs w:val="20"/>
    </w:rPr>
  </w:style>
  <w:style w:type="paragraph" w:customStyle="1" w:styleId="Tiret1">
    <w:name w:val="Tiret 1"/>
    <w:basedOn w:val="Normal"/>
    <w:next w:val="Normal"/>
    <w:rsid w:val="005455E5"/>
    <w:pPr>
      <w:numPr>
        <w:numId w:val="3"/>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lang w:eastAsia="en-GB"/>
    </w:rPr>
  </w:style>
  <w:style w:type="paragraph" w:customStyle="1" w:styleId="NumPar3">
    <w:name w:val="NumPar 3"/>
    <w:basedOn w:val="Heading3"/>
    <w:next w:val="Normal"/>
    <w:rsid w:val="005455E5"/>
    <w:pPr>
      <w:keepNext w:val="0"/>
      <w:keepLines w:val="0"/>
      <w:numPr>
        <w:numId w:val="3"/>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sid w:val="005059B8"/>
    <w:rPr>
      <w:b/>
      <w:bCs/>
    </w:rPr>
  </w:style>
  <w:style w:type="character" w:styleId="SubtleEmphasis">
    <w:name w:val="Subtle Emphasis"/>
    <w:basedOn w:val="DefaultParagraphFont"/>
    <w:uiPriority w:val="19"/>
    <w:qFormat/>
    <w:rsid w:val="009022BB"/>
    <w:rPr>
      <w:i/>
      <w:iCs/>
      <w:color w:val="808080" w:themeColor="text1" w:themeTint="7F"/>
    </w:rPr>
  </w:style>
  <w:style w:type="character" w:styleId="Emphasis">
    <w:name w:val="Emphasis"/>
    <w:basedOn w:val="DefaultParagraphFont"/>
    <w:uiPriority w:val="20"/>
    <w:qFormat/>
    <w:rsid w:val="009022BB"/>
    <w:rPr>
      <w:i/>
      <w:iCs/>
    </w:rPr>
  </w:style>
  <w:style w:type="character" w:customStyle="1" w:styleId="prdnormal">
    <w:name w:val="prdnormal"/>
    <w:rsid w:val="00836EBA"/>
  </w:style>
  <w:style w:type="paragraph" w:customStyle="1" w:styleId="ZDGName">
    <w:name w:val="Z_DGName"/>
    <w:basedOn w:val="Normal"/>
    <w:rsid w:val="00ED08EE"/>
    <w:pPr>
      <w:widowControl w:val="0"/>
      <w:autoSpaceDE w:val="0"/>
      <w:autoSpaceDN w:val="0"/>
      <w:ind w:right="85"/>
    </w:pPr>
    <w:rPr>
      <w:rFonts w:ascii="Arial" w:eastAsia="Times New Roman" w:hAnsi="Arial" w:cs="Arial"/>
      <w:sz w:val="16"/>
      <w:szCs w:val="16"/>
      <w:lang w:eastAsia="en-GB"/>
    </w:rPr>
  </w:style>
  <w:style w:type="paragraph" w:customStyle="1" w:styleId="Style1">
    <w:name w:val="Style1"/>
    <w:basedOn w:val="Normal"/>
    <w:rsid w:val="00ED08EE"/>
    <w:pPr>
      <w:spacing w:after="200" w:line="276" w:lineRule="auto"/>
      <w:ind w:left="360" w:hanging="360"/>
    </w:pPr>
    <w:rPr>
      <w:rFonts w:eastAsia="Calibri"/>
    </w:rPr>
  </w:style>
  <w:style w:type="paragraph" w:styleId="TOC3">
    <w:name w:val="toc 3"/>
    <w:basedOn w:val="Normal"/>
    <w:next w:val="Normal"/>
    <w:autoRedefine/>
    <w:uiPriority w:val="39"/>
    <w:unhideWhenUsed/>
    <w:qFormat/>
    <w:rsid w:val="00A10111"/>
    <w:pPr>
      <w:spacing w:after="100"/>
      <w:ind w:left="440"/>
    </w:pPr>
  </w:style>
  <w:style w:type="character" w:customStyle="1" w:styleId="Heading5Char">
    <w:name w:val="Heading 5 Char"/>
    <w:basedOn w:val="DefaultParagraphFont"/>
    <w:link w:val="Heading5"/>
    <w:uiPriority w:val="9"/>
    <w:semiHidden/>
    <w:rsid w:val="00A520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20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20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20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2058"/>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rsid w:val="00A0354F"/>
    <w:rPr>
      <w:rFonts w:ascii="Times New Roman" w:eastAsia="Times New Roman" w:hAnsi="Times New Roman"/>
      <w:sz w:val="24"/>
      <w:szCs w:val="20"/>
    </w:rPr>
  </w:style>
  <w:style w:type="character" w:styleId="BookTitle">
    <w:name w:val="Book Title"/>
    <w:basedOn w:val="DefaultParagraphFont"/>
    <w:uiPriority w:val="33"/>
    <w:qFormat/>
    <w:rsid w:val="00AF687B"/>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sid w:val="00BA12BD"/>
    <w:rPr>
      <w:rFonts w:ascii="Calibri" w:hAnsi="Calibri" w:cs="Times New Roman"/>
    </w:rPr>
  </w:style>
  <w:style w:type="paragraph" w:styleId="ListBullet">
    <w:name w:val="List Bullet"/>
    <w:basedOn w:val="Normal"/>
    <w:rsid w:val="00247482"/>
    <w:pPr>
      <w:numPr>
        <w:numId w:val="30"/>
      </w:numPr>
    </w:pPr>
    <w:rPr>
      <w:rFonts w:ascii="Times New Roman" w:eastAsia="Times New Roman" w:hAnsi="Times New Roman"/>
      <w:sz w:val="24"/>
      <w:szCs w:val="20"/>
    </w:rPr>
  </w:style>
  <w:style w:type="paragraph" w:customStyle="1" w:styleId="LTTBody1">
    <w:name w:val="LTT Body 1"/>
    <w:basedOn w:val="Normal"/>
    <w:qFormat/>
    <w:rsid w:val="00247482"/>
    <w:pPr>
      <w:numPr>
        <w:numId w:val="31"/>
      </w:numPr>
      <w:spacing w:after="0"/>
      <w:jc w:val="left"/>
    </w:pPr>
    <w:rPr>
      <w:rFonts w:eastAsia="Times New Roman" w:cs="Calibri"/>
      <w:sz w:val="28"/>
      <w:szCs w:val="28"/>
      <w:lang w:eastAsia="en-GB"/>
    </w:rPr>
  </w:style>
  <w:style w:type="paragraph" w:customStyle="1" w:styleId="Briefingheading2">
    <w:name w:val="Briefing heading 2"/>
    <w:basedOn w:val="Normal"/>
    <w:rsid w:val="00FE0107"/>
    <w:pPr>
      <w:keepNext/>
      <w:spacing w:before="240" w:after="120"/>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A9C"/>
    <w:pPr>
      <w:spacing w:after="240" w:line="240" w:lineRule="auto"/>
      <w:jc w:val="both"/>
    </w:pPr>
    <w:rPr>
      <w:rFonts w:ascii="Calibri" w:hAnsi="Calibri" w:cs="Times New Roman"/>
    </w:rPr>
  </w:style>
  <w:style w:type="paragraph" w:styleId="Heading1">
    <w:name w:val="heading 1"/>
    <w:basedOn w:val="Normal"/>
    <w:next w:val="Normal"/>
    <w:link w:val="Heading1Char"/>
    <w:uiPriority w:val="9"/>
    <w:qFormat/>
    <w:rsid w:val="009E1829"/>
    <w:pPr>
      <w:keepNext/>
      <w:keepLines/>
      <w:numPr>
        <w:numId w:val="4"/>
      </w:numPr>
      <w:spacing w:before="480"/>
      <w:outlineLvl w:val="0"/>
    </w:pPr>
    <w:rPr>
      <w:rFonts w:asciiTheme="minorHAnsi" w:eastAsiaTheme="majorEastAsia" w:hAnsiTheme="minorHAnsi" w:cstheme="majorBidi"/>
      <w:b/>
      <w:bCs/>
      <w:color w:val="000000" w:themeColor="text1"/>
      <w:sz w:val="24"/>
      <w:szCs w:val="24"/>
    </w:rPr>
  </w:style>
  <w:style w:type="paragraph" w:styleId="Heading2">
    <w:name w:val="heading 2"/>
    <w:basedOn w:val="Normal"/>
    <w:next w:val="Normal"/>
    <w:link w:val="Heading2Char"/>
    <w:uiPriority w:val="9"/>
    <w:qFormat/>
    <w:rsid w:val="00F22E10"/>
    <w:pPr>
      <w:keepNext/>
      <w:keepLines/>
      <w:numPr>
        <w:ilvl w:val="1"/>
        <w:numId w:val="4"/>
      </w:numPr>
      <w:spacing w:line="276" w:lineRule="auto"/>
      <w:ind w:left="578" w:hanging="578"/>
      <w:outlineLvl w:val="1"/>
    </w:pPr>
    <w:rPr>
      <w:rFonts w:asciiTheme="minorHAnsi" w:eastAsia="Times New Roman" w:hAnsiTheme="minorHAnsi"/>
      <w:b/>
      <w:bCs/>
      <w:i/>
      <w:color w:val="000000" w:themeColor="text1"/>
      <w:u w:val="single"/>
    </w:rPr>
  </w:style>
  <w:style w:type="paragraph" w:styleId="Heading3">
    <w:name w:val="heading 3"/>
    <w:basedOn w:val="Normal"/>
    <w:next w:val="Normal"/>
    <w:link w:val="Heading3Char"/>
    <w:uiPriority w:val="9"/>
    <w:unhideWhenUsed/>
    <w:qFormat/>
    <w:rsid w:val="000B465F"/>
    <w:pPr>
      <w:keepNext/>
      <w:keepLines/>
      <w:numPr>
        <w:ilvl w:val="2"/>
        <w:numId w:val="4"/>
      </w:numPr>
      <w:spacing w:before="200"/>
      <w:outlineLvl w:val="2"/>
    </w:pPr>
    <w:rPr>
      <w:rFonts w:asciiTheme="minorHAnsi" w:eastAsiaTheme="majorEastAsia" w:hAnsiTheme="minorHAnsi" w:cstheme="majorBidi"/>
      <w:bCs/>
      <w:i/>
      <w:u w:val="single"/>
    </w:rPr>
  </w:style>
  <w:style w:type="paragraph" w:styleId="Heading4">
    <w:name w:val="heading 4"/>
    <w:basedOn w:val="Normal"/>
    <w:next w:val="Normal"/>
    <w:link w:val="Heading4Char"/>
    <w:uiPriority w:val="9"/>
    <w:qFormat/>
    <w:rsid w:val="005455E5"/>
    <w:pPr>
      <w:keepNext/>
      <w:numPr>
        <w:ilvl w:val="3"/>
        <w:numId w:val="4"/>
      </w:numPr>
      <w:outlineLvl w:val="3"/>
    </w:pPr>
    <w:rPr>
      <w:rFonts w:ascii="Times New Roman" w:eastAsia="Times New Roman" w:hAnsi="Times New Roman"/>
      <w:sz w:val="24"/>
      <w:szCs w:val="20"/>
    </w:rPr>
  </w:style>
  <w:style w:type="paragraph" w:styleId="Heading5">
    <w:name w:val="heading 5"/>
    <w:basedOn w:val="Normal"/>
    <w:next w:val="Normal"/>
    <w:link w:val="Heading5Char"/>
    <w:uiPriority w:val="9"/>
    <w:semiHidden/>
    <w:unhideWhenUsed/>
    <w:qFormat/>
    <w:rsid w:val="00A52058"/>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52058"/>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5205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2058"/>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2058"/>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lang w:eastAsia="en-GB"/>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
    <w:basedOn w:val="Normal"/>
    <w:link w:val="ListParagraphChar"/>
    <w:uiPriority w:val="34"/>
    <w:qFormat/>
    <w:rsid w:val="009518A5"/>
    <w:pPr>
      <w:ind w:left="720"/>
    </w:pPr>
  </w:style>
  <w:style w:type="character" w:customStyle="1" w:styleId="Heading1Char">
    <w:name w:val="Heading 1 Char"/>
    <w:basedOn w:val="DefaultParagraphFont"/>
    <w:link w:val="Heading1"/>
    <w:uiPriority w:val="9"/>
    <w:rsid w:val="009E1829"/>
    <w:rPr>
      <w:rFonts w:eastAsiaTheme="majorEastAsia" w:cstheme="majorBidi"/>
      <w:b/>
      <w:bCs/>
      <w:color w:val="000000" w:themeColor="text1"/>
      <w:sz w:val="24"/>
      <w:szCs w:val="24"/>
    </w:rPr>
  </w:style>
  <w:style w:type="paragraph" w:styleId="TOCHeading">
    <w:name w:val="TOC Heading"/>
    <w:basedOn w:val="Heading1"/>
    <w:next w:val="Normal"/>
    <w:uiPriority w:val="39"/>
    <w:qFormat/>
    <w:rsid w:val="009518A5"/>
    <w:pPr>
      <w:spacing w:line="276" w:lineRule="auto"/>
      <w:outlineLvl w:val="9"/>
    </w:pPr>
    <w:rPr>
      <w:lang w:val="en-US" w:eastAsia="ja-JP"/>
    </w:rPr>
  </w:style>
  <w:style w:type="paragraph" w:styleId="TOC1">
    <w:name w:val="toc 1"/>
    <w:basedOn w:val="Normal"/>
    <w:next w:val="Normal"/>
    <w:uiPriority w:val="39"/>
    <w:qFormat/>
    <w:pPr>
      <w:spacing w:after="10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2Char">
    <w:name w:val="Heading 2 Char"/>
    <w:basedOn w:val="DefaultParagraphFont"/>
    <w:link w:val="Heading2"/>
    <w:uiPriority w:val="9"/>
    <w:rsid w:val="00F22E10"/>
    <w:rPr>
      <w:rFonts w:eastAsia="Times New Roman" w:cs="Times New Roman"/>
      <w:b/>
      <w:bCs/>
      <w:i/>
      <w:color w:val="000000" w:themeColor="text1"/>
      <w:u w:val="single"/>
    </w:rPr>
  </w:style>
  <w:style w:type="paragraph" w:styleId="TOC2">
    <w:name w:val="toc 2"/>
    <w:basedOn w:val="Normal"/>
    <w:next w:val="Normal"/>
    <w:uiPriority w:val="39"/>
    <w:qFormat/>
    <w:pPr>
      <w:spacing w:after="100"/>
      <w:ind w:left="220"/>
    </w:pPr>
  </w:style>
  <w:style w:type="paragraph" w:styleId="FootnoteText">
    <w:name w:val="footnote text"/>
    <w:aliases w:val="Schriftart: 9 pt,Schriftart: 10 pt,Schriftart: 8 pt,WB-Fußnotentext,fn,Footnotes,Footnote ak,footnote text,Footnote Text Char1 Char,Footnote Text Char Char Char,Footnote Text Char1 Char Char Char,Footnote Text Char Char Char Char Cha,ft,f"/>
    <w:basedOn w:val="Normal"/>
    <w:link w:val="FootnoteTextChar"/>
    <w:uiPriority w:val="99"/>
    <w:qFormat/>
    <w:rsid w:val="009518A5"/>
    <w:pPr>
      <w:spacing w:after="200" w:line="276" w:lineRule="auto"/>
    </w:pPr>
    <w:rPr>
      <w:rFonts w:eastAsia="Calibri"/>
      <w:sz w:val="20"/>
      <w:szCs w:val="20"/>
    </w:rPr>
  </w:style>
  <w:style w:type="character" w:customStyle="1" w:styleId="FootnoteTextChar">
    <w:name w:val="Footnote Text Char"/>
    <w:aliases w:val="Schriftart: 9 pt Char,Schriftart: 10 pt Char,Schriftart: 8 pt Char,WB-Fußnotentext Char,fn Char,Footnotes Char,Footnote ak Char,footnote text Char,Footnote Text Char1 Char Char,Footnote Text Char Char Char Char,ft Char,f Char"/>
    <w:basedOn w:val="DefaultParagraphFont"/>
    <w:link w:val="FootnoteText"/>
    <w:uiPriority w:val="99"/>
    <w:rsid w:val="009518A5"/>
    <w:rPr>
      <w:rFonts w:ascii="Calibri" w:eastAsia="Calibri" w:hAnsi="Calibri" w:cs="Times New Roman"/>
      <w:sz w:val="20"/>
      <w:szCs w:val="20"/>
    </w:rPr>
  </w:style>
  <w:style w:type="character" w:styleId="FootnoteReference">
    <w:name w:val="footnote reference"/>
    <w:aliases w:val="Footnote Reference Superscript,BVI fnr, BVI fnr,Footnote symbol,Footnote reference number,number,note TESI,SUPERS,EN Footnote Reference,Times 10 Point,Exposant 3 Point, Exposant 3 Point,Footnote Reference_LVL6,Footnote,Footnote number"/>
    <w:link w:val="FootnotesymbolCarZchn"/>
    <w:uiPriority w:val="99"/>
    <w:unhideWhenUsed/>
    <w:qFormat/>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pPr>
      <w:spacing w:after="160" w:line="240" w:lineRule="exact"/>
    </w:pPr>
    <w:rPr>
      <w:rFonts w:asciiTheme="minorHAnsi" w:hAnsiTheme="minorHAnsi" w:cstheme="minorBidi"/>
      <w:vertAlign w:val="superscript"/>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rPr>
  </w:style>
  <w:style w:type="paragraph" w:styleId="Revision">
    <w:name w:val="Revision"/>
    <w:uiPriority w:val="99"/>
    <w:pPr>
      <w:spacing w:after="0" w:line="240" w:lineRule="auto"/>
    </w:pPr>
    <w:rPr>
      <w:rFonts w:ascii="Calibri" w:hAnsi="Calibri"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hAnsi="Calibri"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Times New Roman"/>
      <w:b/>
      <w:bCs/>
      <w:sz w:val="20"/>
      <w:szCs w:val="20"/>
    </w:rPr>
  </w:style>
  <w:style w:type="character" w:styleId="FollowedHyperlink">
    <w:name w:val="FollowedHyperlink"/>
    <w:basedOn w:val="DefaultParagraphFont"/>
    <w:uiPriority w:val="99"/>
    <w:rPr>
      <w:color w:val="800080"/>
      <w:u w:val="single"/>
    </w:rPr>
  </w:style>
  <w:style w:type="character" w:customStyle="1" w:styleId="Heading3Char">
    <w:name w:val="Heading 3 Char"/>
    <w:basedOn w:val="DefaultParagraphFont"/>
    <w:link w:val="Heading3"/>
    <w:uiPriority w:val="9"/>
    <w:rsid w:val="000B465F"/>
    <w:rPr>
      <w:rFonts w:eastAsiaTheme="majorEastAsia" w:cstheme="majorBidi"/>
      <w:bCs/>
      <w:i/>
      <w:u w:val="single"/>
    </w:rPr>
  </w:style>
  <w:style w:type="table" w:styleId="TableGrid">
    <w:name w:val="Table Grid"/>
    <w:basedOn w:val="TableNormal"/>
    <w:uiPriority w:val="59"/>
    <w:rsid w:val="0089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E09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customStyle="1" w:styleId="Marker">
    <w:name w:val="Marker"/>
    <w:basedOn w:val="DefaultParagraphFont"/>
    <w:rsid w:val="002E2151"/>
    <w:rPr>
      <w:color w:val="0000FF"/>
      <w:shd w:val="clear" w:color="auto" w:fill="auto"/>
    </w:rPr>
  </w:style>
  <w:style w:type="paragraph" w:customStyle="1" w:styleId="Pagedecouverture">
    <w:name w:val="Page de couverture"/>
    <w:basedOn w:val="Normal"/>
    <w:next w:val="Normal"/>
    <w:rsid w:val="002E2151"/>
    <w:rPr>
      <w:rFonts w:ascii="Times New Roman" w:hAnsi="Times New Roman"/>
      <w:sz w:val="24"/>
    </w:rPr>
  </w:style>
  <w:style w:type="paragraph" w:customStyle="1" w:styleId="FooterCoverPage">
    <w:name w:val="Footer Cover Page"/>
    <w:basedOn w:val="Normal"/>
    <w:link w:val="FooterCoverPageChar"/>
    <w:rsid w:val="002E2151"/>
    <w:pPr>
      <w:widowControl w:val="0"/>
      <w:tabs>
        <w:tab w:val="center" w:pos="4535"/>
        <w:tab w:val="right" w:pos="9071"/>
        <w:tab w:val="right" w:pos="9921"/>
      </w:tabs>
      <w:spacing w:before="360" w:after="0"/>
      <w:ind w:left="-850" w:right="-850"/>
      <w:jc w:val="left"/>
    </w:pPr>
    <w:rPr>
      <w:rFonts w:ascii="Times New Roman" w:eastAsia="Times New Roman" w:hAnsi="Times New Roman"/>
      <w:smallCaps/>
      <w:sz w:val="24"/>
      <w:szCs w:val="28"/>
    </w:rPr>
  </w:style>
  <w:style w:type="character" w:customStyle="1" w:styleId="FooterCoverPageChar">
    <w:name w:val="Footer Cover Page Char"/>
    <w:basedOn w:val="DefaultParagraphFont"/>
    <w:link w:val="FooterCoverPage"/>
    <w:rsid w:val="002E2151"/>
    <w:rPr>
      <w:rFonts w:ascii="Times New Roman" w:eastAsia="Times New Roman" w:hAnsi="Times New Roman" w:cs="Times New Roman"/>
      <w:smallCaps/>
      <w:sz w:val="24"/>
      <w:szCs w:val="28"/>
    </w:rPr>
  </w:style>
  <w:style w:type="paragraph" w:customStyle="1" w:styleId="HeaderCoverPage">
    <w:name w:val="Header Cover Page"/>
    <w:basedOn w:val="Normal"/>
    <w:link w:val="HeaderCoverPageChar"/>
    <w:rsid w:val="002E2151"/>
    <w:pPr>
      <w:widowControl w:val="0"/>
      <w:tabs>
        <w:tab w:val="center" w:pos="4535"/>
        <w:tab w:val="right" w:pos="9071"/>
      </w:tabs>
      <w:spacing w:after="120"/>
    </w:pPr>
    <w:rPr>
      <w:rFonts w:ascii="Times New Roman" w:eastAsia="Times New Roman" w:hAnsi="Times New Roman"/>
      <w:smallCaps/>
      <w:sz w:val="24"/>
      <w:szCs w:val="28"/>
    </w:rPr>
  </w:style>
  <w:style w:type="character" w:customStyle="1" w:styleId="HeaderCoverPageChar">
    <w:name w:val="Header Cover Page Char"/>
    <w:basedOn w:val="DefaultParagraphFont"/>
    <w:link w:val="HeaderCoverPage"/>
    <w:rsid w:val="002E2151"/>
    <w:rPr>
      <w:rFonts w:ascii="Times New Roman" w:eastAsia="Times New Roman" w:hAnsi="Times New Roman" w:cs="Times New Roman"/>
      <w:smallCaps/>
      <w:sz w:val="24"/>
      <w:szCs w:val="28"/>
    </w:rPr>
  </w:style>
  <w:style w:type="character" w:customStyle="1" w:styleId="tgc">
    <w:name w:val="_tgc"/>
    <w:basedOn w:val="DefaultParagraphFont"/>
    <w:rsid w:val="00125B9E"/>
  </w:style>
  <w:style w:type="paragraph" w:customStyle="1" w:styleId="Point0number">
    <w:name w:val="Point 0 (number)"/>
    <w:basedOn w:val="Normal"/>
    <w:rsid w:val="009E4C34"/>
    <w:pPr>
      <w:numPr>
        <w:numId w:val="1"/>
      </w:numPr>
      <w:spacing w:before="120" w:after="120"/>
    </w:pPr>
    <w:rPr>
      <w:rFonts w:ascii="Times New Roman" w:eastAsia="Times New Roman" w:hAnsi="Times New Roman"/>
      <w:sz w:val="24"/>
      <w:szCs w:val="24"/>
    </w:rPr>
  </w:style>
  <w:style w:type="paragraph" w:customStyle="1" w:styleId="Point1number">
    <w:name w:val="Point 1 (number)"/>
    <w:basedOn w:val="Normal"/>
    <w:rsid w:val="009E4C34"/>
    <w:pPr>
      <w:numPr>
        <w:ilvl w:val="2"/>
        <w:numId w:val="1"/>
      </w:numPr>
      <w:spacing w:before="120" w:after="120"/>
    </w:pPr>
    <w:rPr>
      <w:rFonts w:ascii="Times New Roman" w:eastAsia="Times New Roman" w:hAnsi="Times New Roman"/>
      <w:sz w:val="24"/>
      <w:szCs w:val="24"/>
    </w:rPr>
  </w:style>
  <w:style w:type="paragraph" w:customStyle="1" w:styleId="Point2number">
    <w:name w:val="Point 2 (number)"/>
    <w:basedOn w:val="Normal"/>
    <w:rsid w:val="009E4C34"/>
    <w:pPr>
      <w:numPr>
        <w:ilvl w:val="4"/>
        <w:numId w:val="1"/>
      </w:numPr>
      <w:spacing w:before="120" w:after="120"/>
    </w:pPr>
    <w:rPr>
      <w:rFonts w:ascii="Times New Roman" w:eastAsia="Times New Roman" w:hAnsi="Times New Roman"/>
      <w:sz w:val="24"/>
      <w:szCs w:val="24"/>
    </w:rPr>
  </w:style>
  <w:style w:type="paragraph" w:customStyle="1" w:styleId="Point3number">
    <w:name w:val="Point 3 (number)"/>
    <w:basedOn w:val="Normal"/>
    <w:rsid w:val="009E4C34"/>
    <w:pPr>
      <w:numPr>
        <w:ilvl w:val="6"/>
        <w:numId w:val="1"/>
      </w:numPr>
      <w:spacing w:before="120" w:after="120"/>
    </w:pPr>
    <w:rPr>
      <w:rFonts w:ascii="Times New Roman" w:eastAsia="Times New Roman" w:hAnsi="Times New Roman"/>
      <w:sz w:val="24"/>
      <w:szCs w:val="24"/>
    </w:rPr>
  </w:style>
  <w:style w:type="paragraph" w:customStyle="1" w:styleId="Point0letter">
    <w:name w:val="Point 0 (letter)"/>
    <w:basedOn w:val="Normal"/>
    <w:rsid w:val="009E4C34"/>
    <w:pPr>
      <w:numPr>
        <w:ilvl w:val="1"/>
        <w:numId w:val="1"/>
      </w:numPr>
      <w:spacing w:before="120" w:after="120"/>
    </w:pPr>
    <w:rPr>
      <w:rFonts w:ascii="Times New Roman" w:eastAsia="Times New Roman" w:hAnsi="Times New Roman"/>
      <w:sz w:val="24"/>
      <w:szCs w:val="24"/>
    </w:rPr>
  </w:style>
  <w:style w:type="paragraph" w:customStyle="1" w:styleId="Point1letter">
    <w:name w:val="Point 1 (letter)"/>
    <w:basedOn w:val="Normal"/>
    <w:rsid w:val="009E4C34"/>
    <w:pPr>
      <w:numPr>
        <w:ilvl w:val="3"/>
        <w:numId w:val="1"/>
      </w:numPr>
      <w:spacing w:before="120" w:after="120"/>
    </w:pPr>
    <w:rPr>
      <w:rFonts w:ascii="Times New Roman" w:eastAsia="Times New Roman" w:hAnsi="Times New Roman"/>
      <w:sz w:val="24"/>
      <w:szCs w:val="24"/>
    </w:rPr>
  </w:style>
  <w:style w:type="paragraph" w:customStyle="1" w:styleId="Point2letter">
    <w:name w:val="Point 2 (letter)"/>
    <w:basedOn w:val="Normal"/>
    <w:rsid w:val="009E4C34"/>
    <w:pPr>
      <w:numPr>
        <w:ilvl w:val="5"/>
        <w:numId w:val="1"/>
      </w:numPr>
      <w:spacing w:before="120" w:after="120"/>
    </w:pPr>
    <w:rPr>
      <w:rFonts w:ascii="Times New Roman" w:eastAsia="Times New Roman" w:hAnsi="Times New Roman"/>
      <w:sz w:val="24"/>
      <w:szCs w:val="24"/>
    </w:rPr>
  </w:style>
  <w:style w:type="paragraph" w:customStyle="1" w:styleId="Point3letter">
    <w:name w:val="Point 3 (letter)"/>
    <w:basedOn w:val="Normal"/>
    <w:rsid w:val="009E4C34"/>
    <w:pPr>
      <w:numPr>
        <w:ilvl w:val="7"/>
        <w:numId w:val="1"/>
      </w:numPr>
      <w:spacing w:before="120" w:after="120"/>
    </w:pPr>
    <w:rPr>
      <w:rFonts w:ascii="Times New Roman" w:eastAsia="Times New Roman" w:hAnsi="Times New Roman"/>
      <w:sz w:val="24"/>
      <w:szCs w:val="24"/>
    </w:rPr>
  </w:style>
  <w:style w:type="paragraph" w:customStyle="1" w:styleId="Point4letter">
    <w:name w:val="Point 4 (letter)"/>
    <w:basedOn w:val="Normal"/>
    <w:rsid w:val="009E4C34"/>
    <w:pPr>
      <w:numPr>
        <w:ilvl w:val="8"/>
        <w:numId w:val="1"/>
      </w:numPr>
      <w:spacing w:before="120" w:after="120"/>
    </w:pPr>
    <w:rPr>
      <w:rFonts w:ascii="Times New Roman" w:eastAsia="Times New Roman" w:hAnsi="Times New Roman"/>
      <w:sz w:val="24"/>
      <w:szCs w:val="24"/>
    </w:rPr>
  </w:style>
  <w:style w:type="paragraph" w:customStyle="1" w:styleId="Bullet0">
    <w:name w:val="Bullet 0"/>
    <w:basedOn w:val="Normal"/>
    <w:rsid w:val="00BB08AC"/>
    <w:pPr>
      <w:spacing w:before="120" w:after="120"/>
    </w:pPr>
    <w:rPr>
      <w:rFonts w:ascii="Times New Roman" w:eastAsia="Times New Roman" w:hAnsi="Times New Roman"/>
      <w:sz w:val="24"/>
      <w:szCs w:val="24"/>
    </w:rPr>
  </w:style>
  <w:style w:type="paragraph" w:customStyle="1" w:styleId="Default">
    <w:name w:val="Default"/>
    <w:rsid w:val="009249D0"/>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764901"/>
    <w:rPr>
      <w:sz w:val="20"/>
      <w:szCs w:val="20"/>
    </w:rPr>
  </w:style>
  <w:style w:type="character" w:customStyle="1" w:styleId="EndnoteTextChar">
    <w:name w:val="Endnote Text Char"/>
    <w:basedOn w:val="DefaultParagraphFont"/>
    <w:link w:val="EndnoteText"/>
    <w:uiPriority w:val="99"/>
    <w:semiHidden/>
    <w:rsid w:val="00764901"/>
    <w:rPr>
      <w:rFonts w:ascii="Calibri" w:hAnsi="Calibri" w:cs="Times New Roman"/>
      <w:sz w:val="20"/>
      <w:szCs w:val="20"/>
    </w:rPr>
  </w:style>
  <w:style w:type="character" w:styleId="EndnoteReference">
    <w:name w:val="endnote reference"/>
    <w:basedOn w:val="DefaultParagraphFont"/>
    <w:uiPriority w:val="99"/>
    <w:semiHidden/>
    <w:unhideWhenUsed/>
    <w:rsid w:val="00764901"/>
    <w:rPr>
      <w:vertAlign w:val="superscript"/>
    </w:rPr>
  </w:style>
  <w:style w:type="paragraph" w:styleId="NoSpacing">
    <w:name w:val="No Spacing"/>
    <w:uiPriority w:val="1"/>
    <w:qFormat/>
    <w:rsid w:val="009518A5"/>
    <w:pPr>
      <w:spacing w:after="0" w:line="240" w:lineRule="auto"/>
    </w:pPr>
    <w:rPr>
      <w:rFonts w:ascii="Calibri" w:hAnsi="Calibri" w:cs="Times New Roman"/>
    </w:rPr>
  </w:style>
  <w:style w:type="paragraph" w:styleId="Quote">
    <w:name w:val="Quote"/>
    <w:basedOn w:val="Normal"/>
    <w:next w:val="Normal"/>
    <w:link w:val="QuoteChar"/>
    <w:uiPriority w:val="29"/>
    <w:qFormat/>
    <w:rsid w:val="00C778E3"/>
    <w:rPr>
      <w:i/>
      <w:iCs/>
      <w:color w:val="000000" w:themeColor="text1"/>
    </w:rPr>
  </w:style>
  <w:style w:type="character" w:customStyle="1" w:styleId="QuoteChar">
    <w:name w:val="Quote Char"/>
    <w:basedOn w:val="DefaultParagraphFont"/>
    <w:link w:val="Quote"/>
    <w:uiPriority w:val="29"/>
    <w:rsid w:val="00C778E3"/>
    <w:rPr>
      <w:rFonts w:ascii="Calibri" w:hAnsi="Calibri" w:cs="Times New Roman"/>
      <w:i/>
      <w:iCs/>
      <w:color w:val="000000" w:themeColor="text1"/>
    </w:rPr>
  </w:style>
  <w:style w:type="character" w:customStyle="1" w:styleId="Heading4Char">
    <w:name w:val="Heading 4 Char"/>
    <w:basedOn w:val="DefaultParagraphFont"/>
    <w:link w:val="Heading4"/>
    <w:uiPriority w:val="9"/>
    <w:rsid w:val="005455E5"/>
    <w:rPr>
      <w:rFonts w:ascii="Times New Roman" w:eastAsia="Times New Roman" w:hAnsi="Times New Roman" w:cs="Times New Roman"/>
      <w:sz w:val="24"/>
      <w:szCs w:val="20"/>
    </w:rPr>
  </w:style>
  <w:style w:type="paragraph" w:customStyle="1" w:styleId="Tiret1">
    <w:name w:val="Tiret 1"/>
    <w:basedOn w:val="Normal"/>
    <w:next w:val="Normal"/>
    <w:rsid w:val="005455E5"/>
    <w:pPr>
      <w:numPr>
        <w:numId w:val="3"/>
      </w:num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40"/>
      <w:ind w:right="57"/>
    </w:pPr>
    <w:rPr>
      <w:rFonts w:ascii="Verdana" w:eastAsia="Times New Roman" w:hAnsi="Verdana"/>
      <w:spacing w:val="-2"/>
      <w:sz w:val="20"/>
      <w:szCs w:val="24"/>
      <w:lang w:eastAsia="en-GB"/>
    </w:rPr>
  </w:style>
  <w:style w:type="paragraph" w:customStyle="1" w:styleId="NumPar3">
    <w:name w:val="NumPar 3"/>
    <w:basedOn w:val="Heading3"/>
    <w:next w:val="Normal"/>
    <w:rsid w:val="005455E5"/>
    <w:pPr>
      <w:keepNext w:val="0"/>
      <w:keepLines w:val="0"/>
      <w:numPr>
        <w:numId w:val="3"/>
      </w:numPr>
      <w:tabs>
        <w:tab w:val="clear" w:pos="2160"/>
      </w:tabs>
      <w:spacing w:before="0"/>
      <w:outlineLvl w:val="9"/>
    </w:pPr>
    <w:rPr>
      <w:rFonts w:ascii="Times New Roman" w:eastAsia="Times New Roman" w:hAnsi="Times New Roman" w:cs="Times New Roman"/>
      <w:b/>
      <w:bCs w:val="0"/>
      <w:sz w:val="24"/>
      <w:szCs w:val="20"/>
    </w:rPr>
  </w:style>
  <w:style w:type="character" w:styleId="Strong">
    <w:name w:val="Strong"/>
    <w:basedOn w:val="DefaultParagraphFont"/>
    <w:uiPriority w:val="22"/>
    <w:qFormat/>
    <w:rsid w:val="005059B8"/>
    <w:rPr>
      <w:b/>
      <w:bCs/>
    </w:rPr>
  </w:style>
  <w:style w:type="character" w:styleId="SubtleEmphasis">
    <w:name w:val="Subtle Emphasis"/>
    <w:basedOn w:val="DefaultParagraphFont"/>
    <w:uiPriority w:val="19"/>
    <w:qFormat/>
    <w:rsid w:val="009022BB"/>
    <w:rPr>
      <w:i/>
      <w:iCs/>
      <w:color w:val="808080" w:themeColor="text1" w:themeTint="7F"/>
    </w:rPr>
  </w:style>
  <w:style w:type="character" w:styleId="Emphasis">
    <w:name w:val="Emphasis"/>
    <w:basedOn w:val="DefaultParagraphFont"/>
    <w:uiPriority w:val="20"/>
    <w:qFormat/>
    <w:rsid w:val="009022BB"/>
    <w:rPr>
      <w:i/>
      <w:iCs/>
    </w:rPr>
  </w:style>
  <w:style w:type="character" w:customStyle="1" w:styleId="prdnormal">
    <w:name w:val="prdnormal"/>
    <w:rsid w:val="00836EBA"/>
  </w:style>
  <w:style w:type="paragraph" w:customStyle="1" w:styleId="ZDGName">
    <w:name w:val="Z_DGName"/>
    <w:basedOn w:val="Normal"/>
    <w:rsid w:val="00ED08EE"/>
    <w:pPr>
      <w:widowControl w:val="0"/>
      <w:autoSpaceDE w:val="0"/>
      <w:autoSpaceDN w:val="0"/>
      <w:ind w:right="85"/>
    </w:pPr>
    <w:rPr>
      <w:rFonts w:ascii="Arial" w:eastAsia="Times New Roman" w:hAnsi="Arial" w:cs="Arial"/>
      <w:sz w:val="16"/>
      <w:szCs w:val="16"/>
      <w:lang w:eastAsia="en-GB"/>
    </w:rPr>
  </w:style>
  <w:style w:type="paragraph" w:customStyle="1" w:styleId="Style1">
    <w:name w:val="Style1"/>
    <w:basedOn w:val="Normal"/>
    <w:rsid w:val="00ED08EE"/>
    <w:pPr>
      <w:spacing w:after="200" w:line="276" w:lineRule="auto"/>
      <w:ind w:left="360" w:hanging="360"/>
    </w:pPr>
    <w:rPr>
      <w:rFonts w:eastAsia="Calibri"/>
    </w:rPr>
  </w:style>
  <w:style w:type="paragraph" w:styleId="TOC3">
    <w:name w:val="toc 3"/>
    <w:basedOn w:val="Normal"/>
    <w:next w:val="Normal"/>
    <w:autoRedefine/>
    <w:uiPriority w:val="39"/>
    <w:unhideWhenUsed/>
    <w:qFormat/>
    <w:rsid w:val="00A10111"/>
    <w:pPr>
      <w:spacing w:after="100"/>
      <w:ind w:left="440"/>
    </w:pPr>
  </w:style>
  <w:style w:type="character" w:customStyle="1" w:styleId="Heading5Char">
    <w:name w:val="Heading 5 Char"/>
    <w:basedOn w:val="DefaultParagraphFont"/>
    <w:link w:val="Heading5"/>
    <w:uiPriority w:val="9"/>
    <w:semiHidden/>
    <w:rsid w:val="00A520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520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520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20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2058"/>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rsid w:val="00A0354F"/>
    <w:rPr>
      <w:rFonts w:ascii="Times New Roman" w:eastAsia="Times New Roman" w:hAnsi="Times New Roman"/>
      <w:sz w:val="24"/>
      <w:szCs w:val="20"/>
    </w:rPr>
  </w:style>
  <w:style w:type="character" w:styleId="BookTitle">
    <w:name w:val="Book Title"/>
    <w:basedOn w:val="DefaultParagraphFont"/>
    <w:uiPriority w:val="33"/>
    <w:qFormat/>
    <w:rsid w:val="00AF687B"/>
    <w:rPr>
      <w:b/>
      <w:bCs/>
      <w:smallCaps/>
      <w:spacing w:val="5"/>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
    <w:link w:val="ListParagraph"/>
    <w:uiPriority w:val="34"/>
    <w:locked/>
    <w:rsid w:val="00BA12BD"/>
    <w:rPr>
      <w:rFonts w:ascii="Calibri" w:hAnsi="Calibri" w:cs="Times New Roman"/>
    </w:rPr>
  </w:style>
  <w:style w:type="paragraph" w:styleId="ListBullet">
    <w:name w:val="List Bullet"/>
    <w:basedOn w:val="Normal"/>
    <w:rsid w:val="00247482"/>
    <w:pPr>
      <w:numPr>
        <w:numId w:val="30"/>
      </w:numPr>
    </w:pPr>
    <w:rPr>
      <w:rFonts w:ascii="Times New Roman" w:eastAsia="Times New Roman" w:hAnsi="Times New Roman"/>
      <w:sz w:val="24"/>
      <w:szCs w:val="20"/>
    </w:rPr>
  </w:style>
  <w:style w:type="paragraph" w:customStyle="1" w:styleId="LTTBody1">
    <w:name w:val="LTT Body 1"/>
    <w:basedOn w:val="Normal"/>
    <w:qFormat/>
    <w:rsid w:val="00247482"/>
    <w:pPr>
      <w:numPr>
        <w:numId w:val="31"/>
      </w:numPr>
      <w:spacing w:after="0"/>
      <w:jc w:val="left"/>
    </w:pPr>
    <w:rPr>
      <w:rFonts w:eastAsia="Times New Roman" w:cs="Calibri"/>
      <w:sz w:val="28"/>
      <w:szCs w:val="28"/>
      <w:lang w:eastAsia="en-GB"/>
    </w:rPr>
  </w:style>
  <w:style w:type="paragraph" w:customStyle="1" w:styleId="Briefingheading2">
    <w:name w:val="Briefing heading 2"/>
    <w:basedOn w:val="Normal"/>
    <w:rsid w:val="00FE0107"/>
    <w:pPr>
      <w:keepNext/>
      <w:spacing w:before="240" w:after="120"/>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2379">
      <w:bodyDiv w:val="1"/>
      <w:marLeft w:val="0"/>
      <w:marRight w:val="0"/>
      <w:marTop w:val="0"/>
      <w:marBottom w:val="0"/>
      <w:divBdr>
        <w:top w:val="none" w:sz="0" w:space="0" w:color="auto"/>
        <w:left w:val="none" w:sz="0" w:space="0" w:color="auto"/>
        <w:bottom w:val="none" w:sz="0" w:space="0" w:color="auto"/>
        <w:right w:val="none" w:sz="0" w:space="0" w:color="auto"/>
      </w:divBdr>
    </w:div>
    <w:div w:id="20514400">
      <w:bodyDiv w:val="1"/>
      <w:marLeft w:val="0"/>
      <w:marRight w:val="0"/>
      <w:marTop w:val="0"/>
      <w:marBottom w:val="0"/>
      <w:divBdr>
        <w:top w:val="none" w:sz="0" w:space="0" w:color="auto"/>
        <w:left w:val="none" w:sz="0" w:space="0" w:color="auto"/>
        <w:bottom w:val="none" w:sz="0" w:space="0" w:color="auto"/>
        <w:right w:val="none" w:sz="0" w:space="0" w:color="auto"/>
      </w:divBdr>
    </w:div>
    <w:div w:id="36198970">
      <w:bodyDiv w:val="1"/>
      <w:marLeft w:val="0"/>
      <w:marRight w:val="0"/>
      <w:marTop w:val="0"/>
      <w:marBottom w:val="0"/>
      <w:divBdr>
        <w:top w:val="none" w:sz="0" w:space="0" w:color="auto"/>
        <w:left w:val="none" w:sz="0" w:space="0" w:color="auto"/>
        <w:bottom w:val="none" w:sz="0" w:space="0" w:color="auto"/>
        <w:right w:val="none" w:sz="0" w:space="0" w:color="auto"/>
      </w:divBdr>
    </w:div>
    <w:div w:id="64188776">
      <w:bodyDiv w:val="1"/>
      <w:marLeft w:val="0"/>
      <w:marRight w:val="0"/>
      <w:marTop w:val="0"/>
      <w:marBottom w:val="0"/>
      <w:divBdr>
        <w:top w:val="none" w:sz="0" w:space="0" w:color="auto"/>
        <w:left w:val="none" w:sz="0" w:space="0" w:color="auto"/>
        <w:bottom w:val="none" w:sz="0" w:space="0" w:color="auto"/>
        <w:right w:val="none" w:sz="0" w:space="0" w:color="auto"/>
      </w:divBdr>
      <w:divsChild>
        <w:div w:id="1142382544">
          <w:marLeft w:val="1166"/>
          <w:marRight w:val="0"/>
          <w:marTop w:val="86"/>
          <w:marBottom w:val="0"/>
          <w:divBdr>
            <w:top w:val="none" w:sz="0" w:space="0" w:color="auto"/>
            <w:left w:val="none" w:sz="0" w:space="0" w:color="auto"/>
            <w:bottom w:val="none" w:sz="0" w:space="0" w:color="auto"/>
            <w:right w:val="none" w:sz="0" w:space="0" w:color="auto"/>
          </w:divBdr>
        </w:div>
        <w:div w:id="552693003">
          <w:marLeft w:val="1166"/>
          <w:marRight w:val="0"/>
          <w:marTop w:val="86"/>
          <w:marBottom w:val="0"/>
          <w:divBdr>
            <w:top w:val="none" w:sz="0" w:space="0" w:color="auto"/>
            <w:left w:val="none" w:sz="0" w:space="0" w:color="auto"/>
            <w:bottom w:val="none" w:sz="0" w:space="0" w:color="auto"/>
            <w:right w:val="none" w:sz="0" w:space="0" w:color="auto"/>
          </w:divBdr>
        </w:div>
        <w:div w:id="1065376170">
          <w:marLeft w:val="1166"/>
          <w:marRight w:val="0"/>
          <w:marTop w:val="86"/>
          <w:marBottom w:val="0"/>
          <w:divBdr>
            <w:top w:val="none" w:sz="0" w:space="0" w:color="auto"/>
            <w:left w:val="none" w:sz="0" w:space="0" w:color="auto"/>
            <w:bottom w:val="none" w:sz="0" w:space="0" w:color="auto"/>
            <w:right w:val="none" w:sz="0" w:space="0" w:color="auto"/>
          </w:divBdr>
        </w:div>
        <w:div w:id="297417454">
          <w:marLeft w:val="1166"/>
          <w:marRight w:val="0"/>
          <w:marTop w:val="86"/>
          <w:marBottom w:val="0"/>
          <w:divBdr>
            <w:top w:val="none" w:sz="0" w:space="0" w:color="auto"/>
            <w:left w:val="none" w:sz="0" w:space="0" w:color="auto"/>
            <w:bottom w:val="none" w:sz="0" w:space="0" w:color="auto"/>
            <w:right w:val="none" w:sz="0" w:space="0" w:color="auto"/>
          </w:divBdr>
        </w:div>
        <w:div w:id="979967018">
          <w:marLeft w:val="1166"/>
          <w:marRight w:val="0"/>
          <w:marTop w:val="86"/>
          <w:marBottom w:val="0"/>
          <w:divBdr>
            <w:top w:val="none" w:sz="0" w:space="0" w:color="auto"/>
            <w:left w:val="none" w:sz="0" w:space="0" w:color="auto"/>
            <w:bottom w:val="none" w:sz="0" w:space="0" w:color="auto"/>
            <w:right w:val="none" w:sz="0" w:space="0" w:color="auto"/>
          </w:divBdr>
        </w:div>
      </w:divsChild>
    </w:div>
    <w:div w:id="92409027">
      <w:bodyDiv w:val="1"/>
      <w:marLeft w:val="0"/>
      <w:marRight w:val="0"/>
      <w:marTop w:val="0"/>
      <w:marBottom w:val="0"/>
      <w:divBdr>
        <w:top w:val="none" w:sz="0" w:space="0" w:color="auto"/>
        <w:left w:val="none" w:sz="0" w:space="0" w:color="auto"/>
        <w:bottom w:val="none" w:sz="0" w:space="0" w:color="auto"/>
        <w:right w:val="none" w:sz="0" w:space="0" w:color="auto"/>
      </w:divBdr>
      <w:divsChild>
        <w:div w:id="1179076052">
          <w:marLeft w:val="547"/>
          <w:marRight w:val="0"/>
          <w:marTop w:val="0"/>
          <w:marBottom w:val="240"/>
          <w:divBdr>
            <w:top w:val="none" w:sz="0" w:space="0" w:color="auto"/>
            <w:left w:val="none" w:sz="0" w:space="0" w:color="auto"/>
            <w:bottom w:val="none" w:sz="0" w:space="0" w:color="auto"/>
            <w:right w:val="none" w:sz="0" w:space="0" w:color="auto"/>
          </w:divBdr>
        </w:div>
      </w:divsChild>
    </w:div>
    <w:div w:id="125977319">
      <w:bodyDiv w:val="1"/>
      <w:marLeft w:val="0"/>
      <w:marRight w:val="0"/>
      <w:marTop w:val="0"/>
      <w:marBottom w:val="0"/>
      <w:divBdr>
        <w:top w:val="none" w:sz="0" w:space="0" w:color="auto"/>
        <w:left w:val="none" w:sz="0" w:space="0" w:color="auto"/>
        <w:bottom w:val="none" w:sz="0" w:space="0" w:color="auto"/>
        <w:right w:val="none" w:sz="0" w:space="0" w:color="auto"/>
      </w:divBdr>
      <w:divsChild>
        <w:div w:id="1101486512">
          <w:marLeft w:val="0"/>
          <w:marRight w:val="0"/>
          <w:marTop w:val="86"/>
          <w:marBottom w:val="0"/>
          <w:divBdr>
            <w:top w:val="none" w:sz="0" w:space="0" w:color="auto"/>
            <w:left w:val="none" w:sz="0" w:space="0" w:color="auto"/>
            <w:bottom w:val="none" w:sz="0" w:space="0" w:color="auto"/>
            <w:right w:val="none" w:sz="0" w:space="0" w:color="auto"/>
          </w:divBdr>
        </w:div>
        <w:div w:id="1532835371">
          <w:marLeft w:val="720"/>
          <w:marRight w:val="0"/>
          <w:marTop w:val="86"/>
          <w:marBottom w:val="0"/>
          <w:divBdr>
            <w:top w:val="none" w:sz="0" w:space="0" w:color="auto"/>
            <w:left w:val="none" w:sz="0" w:space="0" w:color="auto"/>
            <w:bottom w:val="none" w:sz="0" w:space="0" w:color="auto"/>
            <w:right w:val="none" w:sz="0" w:space="0" w:color="auto"/>
          </w:divBdr>
        </w:div>
        <w:div w:id="2069913743">
          <w:marLeft w:val="720"/>
          <w:marRight w:val="0"/>
          <w:marTop w:val="86"/>
          <w:marBottom w:val="0"/>
          <w:divBdr>
            <w:top w:val="none" w:sz="0" w:space="0" w:color="auto"/>
            <w:left w:val="none" w:sz="0" w:space="0" w:color="auto"/>
            <w:bottom w:val="none" w:sz="0" w:space="0" w:color="auto"/>
            <w:right w:val="none" w:sz="0" w:space="0" w:color="auto"/>
          </w:divBdr>
        </w:div>
        <w:div w:id="1120034045">
          <w:marLeft w:val="720"/>
          <w:marRight w:val="0"/>
          <w:marTop w:val="86"/>
          <w:marBottom w:val="0"/>
          <w:divBdr>
            <w:top w:val="none" w:sz="0" w:space="0" w:color="auto"/>
            <w:left w:val="none" w:sz="0" w:space="0" w:color="auto"/>
            <w:bottom w:val="none" w:sz="0" w:space="0" w:color="auto"/>
            <w:right w:val="none" w:sz="0" w:space="0" w:color="auto"/>
          </w:divBdr>
        </w:div>
      </w:divsChild>
    </w:div>
    <w:div w:id="141049653">
      <w:bodyDiv w:val="1"/>
      <w:marLeft w:val="0"/>
      <w:marRight w:val="0"/>
      <w:marTop w:val="0"/>
      <w:marBottom w:val="0"/>
      <w:divBdr>
        <w:top w:val="none" w:sz="0" w:space="0" w:color="auto"/>
        <w:left w:val="none" w:sz="0" w:space="0" w:color="auto"/>
        <w:bottom w:val="none" w:sz="0" w:space="0" w:color="auto"/>
        <w:right w:val="none" w:sz="0" w:space="0" w:color="auto"/>
      </w:divBdr>
    </w:div>
    <w:div w:id="206768117">
      <w:bodyDiv w:val="1"/>
      <w:marLeft w:val="0"/>
      <w:marRight w:val="0"/>
      <w:marTop w:val="0"/>
      <w:marBottom w:val="0"/>
      <w:divBdr>
        <w:top w:val="none" w:sz="0" w:space="0" w:color="auto"/>
        <w:left w:val="none" w:sz="0" w:space="0" w:color="auto"/>
        <w:bottom w:val="none" w:sz="0" w:space="0" w:color="auto"/>
        <w:right w:val="none" w:sz="0" w:space="0" w:color="auto"/>
      </w:divBdr>
    </w:div>
    <w:div w:id="262998522">
      <w:bodyDiv w:val="1"/>
      <w:marLeft w:val="0"/>
      <w:marRight w:val="0"/>
      <w:marTop w:val="0"/>
      <w:marBottom w:val="0"/>
      <w:divBdr>
        <w:top w:val="none" w:sz="0" w:space="0" w:color="auto"/>
        <w:left w:val="none" w:sz="0" w:space="0" w:color="auto"/>
        <w:bottom w:val="none" w:sz="0" w:space="0" w:color="auto"/>
        <w:right w:val="none" w:sz="0" w:space="0" w:color="auto"/>
      </w:divBdr>
      <w:divsChild>
        <w:div w:id="652639795">
          <w:marLeft w:val="0"/>
          <w:marRight w:val="0"/>
          <w:marTop w:val="0"/>
          <w:marBottom w:val="0"/>
          <w:divBdr>
            <w:top w:val="none" w:sz="0" w:space="0" w:color="auto"/>
            <w:left w:val="none" w:sz="0" w:space="0" w:color="auto"/>
            <w:bottom w:val="none" w:sz="0" w:space="0" w:color="auto"/>
            <w:right w:val="none" w:sz="0" w:space="0" w:color="auto"/>
          </w:divBdr>
          <w:divsChild>
            <w:div w:id="1011568249">
              <w:marLeft w:val="0"/>
              <w:marRight w:val="0"/>
              <w:marTop w:val="0"/>
              <w:marBottom w:val="0"/>
              <w:divBdr>
                <w:top w:val="none" w:sz="0" w:space="0" w:color="auto"/>
                <w:left w:val="none" w:sz="0" w:space="0" w:color="auto"/>
                <w:bottom w:val="none" w:sz="0" w:space="0" w:color="auto"/>
                <w:right w:val="none" w:sz="0" w:space="0" w:color="auto"/>
              </w:divBdr>
              <w:divsChild>
                <w:div w:id="1827937921">
                  <w:marLeft w:val="0"/>
                  <w:marRight w:val="0"/>
                  <w:marTop w:val="0"/>
                  <w:marBottom w:val="0"/>
                  <w:divBdr>
                    <w:top w:val="none" w:sz="0" w:space="0" w:color="auto"/>
                    <w:left w:val="none" w:sz="0" w:space="0" w:color="auto"/>
                    <w:bottom w:val="none" w:sz="0" w:space="0" w:color="auto"/>
                    <w:right w:val="none" w:sz="0" w:space="0" w:color="auto"/>
                  </w:divBdr>
                  <w:divsChild>
                    <w:div w:id="749035820">
                      <w:marLeft w:val="0"/>
                      <w:marRight w:val="0"/>
                      <w:marTop w:val="150"/>
                      <w:marBottom w:val="300"/>
                      <w:divBdr>
                        <w:top w:val="none" w:sz="0" w:space="0" w:color="auto"/>
                        <w:left w:val="none" w:sz="0" w:space="0" w:color="auto"/>
                        <w:bottom w:val="none" w:sz="0" w:space="0" w:color="auto"/>
                        <w:right w:val="none" w:sz="0" w:space="0" w:color="auto"/>
                      </w:divBdr>
                      <w:divsChild>
                        <w:div w:id="124735668">
                          <w:marLeft w:val="0"/>
                          <w:marRight w:val="0"/>
                          <w:marTop w:val="0"/>
                          <w:marBottom w:val="0"/>
                          <w:divBdr>
                            <w:top w:val="none" w:sz="0" w:space="0" w:color="auto"/>
                            <w:left w:val="none" w:sz="0" w:space="0" w:color="auto"/>
                            <w:bottom w:val="none" w:sz="0" w:space="0" w:color="auto"/>
                            <w:right w:val="none" w:sz="0" w:space="0" w:color="auto"/>
                          </w:divBdr>
                          <w:divsChild>
                            <w:div w:id="1554997775">
                              <w:marLeft w:val="0"/>
                              <w:marRight w:val="0"/>
                              <w:marTop w:val="0"/>
                              <w:marBottom w:val="0"/>
                              <w:divBdr>
                                <w:top w:val="none" w:sz="0" w:space="0" w:color="auto"/>
                                <w:left w:val="none" w:sz="0" w:space="0" w:color="auto"/>
                                <w:bottom w:val="none" w:sz="0" w:space="0" w:color="auto"/>
                                <w:right w:val="none" w:sz="0" w:space="0" w:color="auto"/>
                              </w:divBdr>
                              <w:divsChild>
                                <w:div w:id="1102455686">
                                  <w:marLeft w:val="0"/>
                                  <w:marRight w:val="0"/>
                                  <w:marTop w:val="0"/>
                                  <w:marBottom w:val="0"/>
                                  <w:divBdr>
                                    <w:top w:val="none" w:sz="0" w:space="0" w:color="auto"/>
                                    <w:left w:val="none" w:sz="0" w:space="0" w:color="auto"/>
                                    <w:bottom w:val="none" w:sz="0" w:space="0" w:color="auto"/>
                                    <w:right w:val="none" w:sz="0" w:space="0" w:color="auto"/>
                                  </w:divBdr>
                                  <w:divsChild>
                                    <w:div w:id="1530949361">
                                      <w:marLeft w:val="0"/>
                                      <w:marRight w:val="0"/>
                                      <w:marTop w:val="0"/>
                                      <w:marBottom w:val="0"/>
                                      <w:divBdr>
                                        <w:top w:val="none" w:sz="0" w:space="0" w:color="auto"/>
                                        <w:left w:val="none" w:sz="0" w:space="0" w:color="auto"/>
                                        <w:bottom w:val="none" w:sz="0" w:space="0" w:color="auto"/>
                                        <w:right w:val="none" w:sz="0" w:space="0" w:color="auto"/>
                                      </w:divBdr>
                                      <w:divsChild>
                                        <w:div w:id="554314831">
                                          <w:marLeft w:val="0"/>
                                          <w:marRight w:val="0"/>
                                          <w:marTop w:val="0"/>
                                          <w:marBottom w:val="0"/>
                                          <w:divBdr>
                                            <w:top w:val="none" w:sz="0" w:space="0" w:color="auto"/>
                                            <w:left w:val="none" w:sz="0" w:space="0" w:color="auto"/>
                                            <w:bottom w:val="none" w:sz="0" w:space="0" w:color="auto"/>
                                            <w:right w:val="none" w:sz="0" w:space="0" w:color="auto"/>
                                          </w:divBdr>
                                          <w:divsChild>
                                            <w:div w:id="394593151">
                                              <w:marLeft w:val="0"/>
                                              <w:marRight w:val="0"/>
                                              <w:marTop w:val="0"/>
                                              <w:marBottom w:val="0"/>
                                              <w:divBdr>
                                                <w:top w:val="none" w:sz="0" w:space="0" w:color="auto"/>
                                                <w:left w:val="none" w:sz="0" w:space="0" w:color="auto"/>
                                                <w:bottom w:val="none" w:sz="0" w:space="0" w:color="auto"/>
                                                <w:right w:val="none" w:sz="0" w:space="0" w:color="auto"/>
                                              </w:divBdr>
                                              <w:divsChild>
                                                <w:div w:id="161548376">
                                                  <w:marLeft w:val="0"/>
                                                  <w:marRight w:val="0"/>
                                                  <w:marTop w:val="0"/>
                                                  <w:marBottom w:val="0"/>
                                                  <w:divBdr>
                                                    <w:top w:val="none" w:sz="0" w:space="0" w:color="auto"/>
                                                    <w:left w:val="none" w:sz="0" w:space="0" w:color="auto"/>
                                                    <w:bottom w:val="none" w:sz="0" w:space="0" w:color="auto"/>
                                                    <w:right w:val="none" w:sz="0" w:space="0" w:color="auto"/>
                                                  </w:divBdr>
                                                  <w:divsChild>
                                                    <w:div w:id="14038620">
                                                      <w:marLeft w:val="0"/>
                                                      <w:marRight w:val="0"/>
                                                      <w:marTop w:val="0"/>
                                                      <w:marBottom w:val="0"/>
                                                      <w:divBdr>
                                                        <w:top w:val="none" w:sz="0" w:space="0" w:color="auto"/>
                                                        <w:left w:val="none" w:sz="0" w:space="0" w:color="auto"/>
                                                        <w:bottom w:val="none" w:sz="0" w:space="0" w:color="auto"/>
                                                        <w:right w:val="none" w:sz="0" w:space="0" w:color="auto"/>
                                                      </w:divBdr>
                                                      <w:divsChild>
                                                        <w:div w:id="2101295428">
                                                          <w:marLeft w:val="0"/>
                                                          <w:marRight w:val="0"/>
                                                          <w:marTop w:val="0"/>
                                                          <w:marBottom w:val="0"/>
                                                          <w:divBdr>
                                                            <w:top w:val="none" w:sz="0" w:space="0" w:color="auto"/>
                                                            <w:left w:val="none" w:sz="0" w:space="0" w:color="auto"/>
                                                            <w:bottom w:val="none" w:sz="0" w:space="0" w:color="auto"/>
                                                            <w:right w:val="none" w:sz="0" w:space="0" w:color="auto"/>
                                                          </w:divBdr>
                                                          <w:divsChild>
                                                            <w:div w:id="7814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623303">
      <w:bodyDiv w:val="1"/>
      <w:marLeft w:val="0"/>
      <w:marRight w:val="0"/>
      <w:marTop w:val="0"/>
      <w:marBottom w:val="0"/>
      <w:divBdr>
        <w:top w:val="none" w:sz="0" w:space="0" w:color="auto"/>
        <w:left w:val="none" w:sz="0" w:space="0" w:color="auto"/>
        <w:bottom w:val="none" w:sz="0" w:space="0" w:color="auto"/>
        <w:right w:val="none" w:sz="0" w:space="0" w:color="auto"/>
      </w:divBdr>
    </w:div>
    <w:div w:id="358892415">
      <w:bodyDiv w:val="1"/>
      <w:marLeft w:val="0"/>
      <w:marRight w:val="0"/>
      <w:marTop w:val="0"/>
      <w:marBottom w:val="0"/>
      <w:divBdr>
        <w:top w:val="none" w:sz="0" w:space="0" w:color="auto"/>
        <w:left w:val="none" w:sz="0" w:space="0" w:color="auto"/>
        <w:bottom w:val="none" w:sz="0" w:space="0" w:color="auto"/>
        <w:right w:val="none" w:sz="0" w:space="0" w:color="auto"/>
      </w:divBdr>
    </w:div>
    <w:div w:id="364790373">
      <w:bodyDiv w:val="1"/>
      <w:marLeft w:val="0"/>
      <w:marRight w:val="0"/>
      <w:marTop w:val="0"/>
      <w:marBottom w:val="0"/>
      <w:divBdr>
        <w:top w:val="none" w:sz="0" w:space="0" w:color="auto"/>
        <w:left w:val="none" w:sz="0" w:space="0" w:color="auto"/>
        <w:bottom w:val="none" w:sz="0" w:space="0" w:color="auto"/>
        <w:right w:val="none" w:sz="0" w:space="0" w:color="auto"/>
      </w:divBdr>
    </w:div>
    <w:div w:id="397947219">
      <w:bodyDiv w:val="1"/>
      <w:marLeft w:val="0"/>
      <w:marRight w:val="0"/>
      <w:marTop w:val="0"/>
      <w:marBottom w:val="0"/>
      <w:divBdr>
        <w:top w:val="none" w:sz="0" w:space="0" w:color="auto"/>
        <w:left w:val="none" w:sz="0" w:space="0" w:color="auto"/>
        <w:bottom w:val="none" w:sz="0" w:space="0" w:color="auto"/>
        <w:right w:val="none" w:sz="0" w:space="0" w:color="auto"/>
      </w:divBdr>
    </w:div>
    <w:div w:id="445349634">
      <w:bodyDiv w:val="1"/>
      <w:marLeft w:val="0"/>
      <w:marRight w:val="0"/>
      <w:marTop w:val="0"/>
      <w:marBottom w:val="0"/>
      <w:divBdr>
        <w:top w:val="none" w:sz="0" w:space="0" w:color="auto"/>
        <w:left w:val="none" w:sz="0" w:space="0" w:color="auto"/>
        <w:bottom w:val="none" w:sz="0" w:space="0" w:color="auto"/>
        <w:right w:val="none" w:sz="0" w:space="0" w:color="auto"/>
      </w:divBdr>
      <w:divsChild>
        <w:div w:id="950554360">
          <w:marLeft w:val="0"/>
          <w:marRight w:val="0"/>
          <w:marTop w:val="0"/>
          <w:marBottom w:val="0"/>
          <w:divBdr>
            <w:top w:val="none" w:sz="0" w:space="0" w:color="auto"/>
            <w:left w:val="none" w:sz="0" w:space="0" w:color="auto"/>
            <w:bottom w:val="none" w:sz="0" w:space="0" w:color="auto"/>
            <w:right w:val="none" w:sz="0" w:space="0" w:color="auto"/>
          </w:divBdr>
          <w:divsChild>
            <w:div w:id="941645221">
              <w:marLeft w:val="0"/>
              <w:marRight w:val="0"/>
              <w:marTop w:val="150"/>
              <w:marBottom w:val="0"/>
              <w:divBdr>
                <w:top w:val="none" w:sz="0" w:space="0" w:color="auto"/>
                <w:left w:val="none" w:sz="0" w:space="0" w:color="auto"/>
                <w:bottom w:val="none" w:sz="0" w:space="0" w:color="auto"/>
                <w:right w:val="none" w:sz="0" w:space="0" w:color="auto"/>
              </w:divBdr>
              <w:divsChild>
                <w:div w:id="524098543">
                  <w:marLeft w:val="0"/>
                  <w:marRight w:val="0"/>
                  <w:marTop w:val="0"/>
                  <w:marBottom w:val="900"/>
                  <w:divBdr>
                    <w:top w:val="none" w:sz="0" w:space="0" w:color="auto"/>
                    <w:left w:val="none" w:sz="0" w:space="0" w:color="auto"/>
                    <w:bottom w:val="none" w:sz="0" w:space="0" w:color="auto"/>
                    <w:right w:val="none" w:sz="0" w:space="0" w:color="auto"/>
                  </w:divBdr>
                  <w:divsChild>
                    <w:div w:id="66996103">
                      <w:marLeft w:val="0"/>
                      <w:marRight w:val="0"/>
                      <w:marTop w:val="0"/>
                      <w:marBottom w:val="0"/>
                      <w:divBdr>
                        <w:top w:val="none" w:sz="0" w:space="0" w:color="auto"/>
                        <w:left w:val="none" w:sz="0" w:space="0" w:color="auto"/>
                        <w:bottom w:val="none" w:sz="0" w:space="0" w:color="auto"/>
                        <w:right w:val="none" w:sz="0" w:space="0" w:color="auto"/>
                      </w:divBdr>
                      <w:divsChild>
                        <w:div w:id="2043050900">
                          <w:marLeft w:val="0"/>
                          <w:marRight w:val="0"/>
                          <w:marTop w:val="0"/>
                          <w:marBottom w:val="0"/>
                          <w:divBdr>
                            <w:top w:val="none" w:sz="0" w:space="0" w:color="auto"/>
                            <w:left w:val="none" w:sz="0" w:space="0" w:color="auto"/>
                            <w:bottom w:val="none" w:sz="0" w:space="0" w:color="auto"/>
                            <w:right w:val="none" w:sz="0" w:space="0" w:color="auto"/>
                          </w:divBdr>
                          <w:divsChild>
                            <w:div w:id="65109851">
                              <w:marLeft w:val="0"/>
                              <w:marRight w:val="0"/>
                              <w:marTop w:val="0"/>
                              <w:marBottom w:val="0"/>
                              <w:divBdr>
                                <w:top w:val="none" w:sz="0" w:space="0" w:color="auto"/>
                                <w:left w:val="none" w:sz="0" w:space="0" w:color="auto"/>
                                <w:bottom w:val="none" w:sz="0" w:space="0" w:color="auto"/>
                                <w:right w:val="none" w:sz="0" w:space="0" w:color="auto"/>
                              </w:divBdr>
                              <w:divsChild>
                                <w:div w:id="1542326006">
                                  <w:marLeft w:val="0"/>
                                  <w:marRight w:val="0"/>
                                  <w:marTop w:val="0"/>
                                  <w:marBottom w:val="0"/>
                                  <w:divBdr>
                                    <w:top w:val="none" w:sz="0" w:space="0" w:color="auto"/>
                                    <w:left w:val="none" w:sz="0" w:space="0" w:color="auto"/>
                                    <w:bottom w:val="none" w:sz="0" w:space="0" w:color="auto"/>
                                    <w:right w:val="none" w:sz="0" w:space="0" w:color="auto"/>
                                  </w:divBdr>
                                  <w:divsChild>
                                    <w:div w:id="1875073520">
                                      <w:marLeft w:val="0"/>
                                      <w:marRight w:val="0"/>
                                      <w:marTop w:val="0"/>
                                      <w:marBottom w:val="0"/>
                                      <w:divBdr>
                                        <w:top w:val="none" w:sz="0" w:space="0" w:color="auto"/>
                                        <w:left w:val="none" w:sz="0" w:space="0" w:color="auto"/>
                                        <w:bottom w:val="none" w:sz="0" w:space="0" w:color="auto"/>
                                        <w:right w:val="none" w:sz="0" w:space="0" w:color="auto"/>
                                      </w:divBdr>
                                      <w:divsChild>
                                        <w:div w:id="1558662556">
                                          <w:marLeft w:val="0"/>
                                          <w:marRight w:val="0"/>
                                          <w:marTop w:val="0"/>
                                          <w:marBottom w:val="0"/>
                                          <w:divBdr>
                                            <w:top w:val="none" w:sz="0" w:space="0" w:color="auto"/>
                                            <w:left w:val="none" w:sz="0" w:space="0" w:color="auto"/>
                                            <w:bottom w:val="none" w:sz="0" w:space="0" w:color="auto"/>
                                            <w:right w:val="none" w:sz="0" w:space="0" w:color="auto"/>
                                          </w:divBdr>
                                          <w:divsChild>
                                            <w:div w:id="1785080901">
                                              <w:marLeft w:val="0"/>
                                              <w:marRight w:val="0"/>
                                              <w:marTop w:val="0"/>
                                              <w:marBottom w:val="0"/>
                                              <w:divBdr>
                                                <w:top w:val="none" w:sz="0" w:space="0" w:color="auto"/>
                                                <w:left w:val="none" w:sz="0" w:space="0" w:color="auto"/>
                                                <w:bottom w:val="none" w:sz="0" w:space="0" w:color="auto"/>
                                                <w:right w:val="none" w:sz="0" w:space="0" w:color="auto"/>
                                              </w:divBdr>
                                              <w:divsChild>
                                                <w:div w:id="648902744">
                                                  <w:marLeft w:val="0"/>
                                                  <w:marRight w:val="0"/>
                                                  <w:marTop w:val="0"/>
                                                  <w:marBottom w:val="0"/>
                                                  <w:divBdr>
                                                    <w:top w:val="none" w:sz="0" w:space="0" w:color="auto"/>
                                                    <w:left w:val="none" w:sz="0" w:space="0" w:color="auto"/>
                                                    <w:bottom w:val="none" w:sz="0" w:space="0" w:color="auto"/>
                                                    <w:right w:val="none" w:sz="0" w:space="0" w:color="auto"/>
                                                  </w:divBdr>
                                                  <w:divsChild>
                                                    <w:div w:id="1881087359">
                                                      <w:marLeft w:val="0"/>
                                                      <w:marRight w:val="0"/>
                                                      <w:marTop w:val="0"/>
                                                      <w:marBottom w:val="0"/>
                                                      <w:divBdr>
                                                        <w:top w:val="none" w:sz="0" w:space="0" w:color="auto"/>
                                                        <w:left w:val="none" w:sz="0" w:space="0" w:color="auto"/>
                                                        <w:bottom w:val="none" w:sz="0" w:space="0" w:color="auto"/>
                                                        <w:right w:val="none" w:sz="0" w:space="0" w:color="auto"/>
                                                      </w:divBdr>
                                                      <w:divsChild>
                                                        <w:div w:id="2011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287918">
      <w:bodyDiv w:val="1"/>
      <w:marLeft w:val="0"/>
      <w:marRight w:val="0"/>
      <w:marTop w:val="0"/>
      <w:marBottom w:val="0"/>
      <w:divBdr>
        <w:top w:val="none" w:sz="0" w:space="0" w:color="auto"/>
        <w:left w:val="none" w:sz="0" w:space="0" w:color="auto"/>
        <w:bottom w:val="none" w:sz="0" w:space="0" w:color="auto"/>
        <w:right w:val="none" w:sz="0" w:space="0" w:color="auto"/>
      </w:divBdr>
      <w:divsChild>
        <w:div w:id="555513842">
          <w:marLeft w:val="547"/>
          <w:marRight w:val="0"/>
          <w:marTop w:val="96"/>
          <w:marBottom w:val="0"/>
          <w:divBdr>
            <w:top w:val="none" w:sz="0" w:space="0" w:color="auto"/>
            <w:left w:val="none" w:sz="0" w:space="0" w:color="auto"/>
            <w:bottom w:val="none" w:sz="0" w:space="0" w:color="auto"/>
            <w:right w:val="none" w:sz="0" w:space="0" w:color="auto"/>
          </w:divBdr>
        </w:div>
      </w:divsChild>
    </w:div>
    <w:div w:id="482086949">
      <w:bodyDiv w:val="1"/>
      <w:marLeft w:val="0"/>
      <w:marRight w:val="0"/>
      <w:marTop w:val="0"/>
      <w:marBottom w:val="0"/>
      <w:divBdr>
        <w:top w:val="none" w:sz="0" w:space="0" w:color="auto"/>
        <w:left w:val="none" w:sz="0" w:space="0" w:color="auto"/>
        <w:bottom w:val="none" w:sz="0" w:space="0" w:color="auto"/>
        <w:right w:val="none" w:sz="0" w:space="0" w:color="auto"/>
      </w:divBdr>
    </w:div>
    <w:div w:id="545677468">
      <w:bodyDiv w:val="1"/>
      <w:marLeft w:val="0"/>
      <w:marRight w:val="0"/>
      <w:marTop w:val="0"/>
      <w:marBottom w:val="0"/>
      <w:divBdr>
        <w:top w:val="none" w:sz="0" w:space="0" w:color="auto"/>
        <w:left w:val="none" w:sz="0" w:space="0" w:color="auto"/>
        <w:bottom w:val="none" w:sz="0" w:space="0" w:color="auto"/>
        <w:right w:val="none" w:sz="0" w:space="0" w:color="auto"/>
      </w:divBdr>
    </w:div>
    <w:div w:id="570581749">
      <w:bodyDiv w:val="1"/>
      <w:marLeft w:val="0"/>
      <w:marRight w:val="0"/>
      <w:marTop w:val="0"/>
      <w:marBottom w:val="0"/>
      <w:divBdr>
        <w:top w:val="none" w:sz="0" w:space="0" w:color="auto"/>
        <w:left w:val="none" w:sz="0" w:space="0" w:color="auto"/>
        <w:bottom w:val="none" w:sz="0" w:space="0" w:color="auto"/>
        <w:right w:val="none" w:sz="0" w:space="0" w:color="auto"/>
      </w:divBdr>
    </w:div>
    <w:div w:id="610550600">
      <w:bodyDiv w:val="1"/>
      <w:marLeft w:val="0"/>
      <w:marRight w:val="0"/>
      <w:marTop w:val="0"/>
      <w:marBottom w:val="0"/>
      <w:divBdr>
        <w:top w:val="none" w:sz="0" w:space="0" w:color="auto"/>
        <w:left w:val="none" w:sz="0" w:space="0" w:color="auto"/>
        <w:bottom w:val="none" w:sz="0" w:space="0" w:color="auto"/>
        <w:right w:val="none" w:sz="0" w:space="0" w:color="auto"/>
      </w:divBdr>
    </w:div>
    <w:div w:id="642974188">
      <w:bodyDiv w:val="1"/>
      <w:marLeft w:val="0"/>
      <w:marRight w:val="0"/>
      <w:marTop w:val="0"/>
      <w:marBottom w:val="0"/>
      <w:divBdr>
        <w:top w:val="none" w:sz="0" w:space="0" w:color="auto"/>
        <w:left w:val="none" w:sz="0" w:space="0" w:color="auto"/>
        <w:bottom w:val="none" w:sz="0" w:space="0" w:color="auto"/>
        <w:right w:val="none" w:sz="0" w:space="0" w:color="auto"/>
      </w:divBdr>
      <w:divsChild>
        <w:div w:id="965739266">
          <w:marLeft w:val="547"/>
          <w:marRight w:val="0"/>
          <w:marTop w:val="96"/>
          <w:marBottom w:val="120"/>
          <w:divBdr>
            <w:top w:val="none" w:sz="0" w:space="0" w:color="auto"/>
            <w:left w:val="none" w:sz="0" w:space="0" w:color="auto"/>
            <w:bottom w:val="none" w:sz="0" w:space="0" w:color="auto"/>
            <w:right w:val="none" w:sz="0" w:space="0" w:color="auto"/>
          </w:divBdr>
        </w:div>
        <w:div w:id="1611474015">
          <w:marLeft w:val="1166"/>
          <w:marRight w:val="0"/>
          <w:marTop w:val="77"/>
          <w:marBottom w:val="120"/>
          <w:divBdr>
            <w:top w:val="none" w:sz="0" w:space="0" w:color="auto"/>
            <w:left w:val="none" w:sz="0" w:space="0" w:color="auto"/>
            <w:bottom w:val="none" w:sz="0" w:space="0" w:color="auto"/>
            <w:right w:val="none" w:sz="0" w:space="0" w:color="auto"/>
          </w:divBdr>
        </w:div>
        <w:div w:id="1290548295">
          <w:marLeft w:val="1166"/>
          <w:marRight w:val="0"/>
          <w:marTop w:val="77"/>
          <w:marBottom w:val="120"/>
          <w:divBdr>
            <w:top w:val="none" w:sz="0" w:space="0" w:color="auto"/>
            <w:left w:val="none" w:sz="0" w:space="0" w:color="auto"/>
            <w:bottom w:val="none" w:sz="0" w:space="0" w:color="auto"/>
            <w:right w:val="none" w:sz="0" w:space="0" w:color="auto"/>
          </w:divBdr>
        </w:div>
        <w:div w:id="621234538">
          <w:marLeft w:val="1166"/>
          <w:marRight w:val="0"/>
          <w:marTop w:val="77"/>
          <w:marBottom w:val="120"/>
          <w:divBdr>
            <w:top w:val="none" w:sz="0" w:space="0" w:color="auto"/>
            <w:left w:val="none" w:sz="0" w:space="0" w:color="auto"/>
            <w:bottom w:val="none" w:sz="0" w:space="0" w:color="auto"/>
            <w:right w:val="none" w:sz="0" w:space="0" w:color="auto"/>
          </w:divBdr>
        </w:div>
        <w:div w:id="1543518464">
          <w:marLeft w:val="547"/>
          <w:marRight w:val="0"/>
          <w:marTop w:val="96"/>
          <w:marBottom w:val="120"/>
          <w:divBdr>
            <w:top w:val="none" w:sz="0" w:space="0" w:color="auto"/>
            <w:left w:val="none" w:sz="0" w:space="0" w:color="auto"/>
            <w:bottom w:val="none" w:sz="0" w:space="0" w:color="auto"/>
            <w:right w:val="none" w:sz="0" w:space="0" w:color="auto"/>
          </w:divBdr>
        </w:div>
        <w:div w:id="599029157">
          <w:marLeft w:val="1166"/>
          <w:marRight w:val="0"/>
          <w:marTop w:val="77"/>
          <w:marBottom w:val="120"/>
          <w:divBdr>
            <w:top w:val="none" w:sz="0" w:space="0" w:color="auto"/>
            <w:left w:val="none" w:sz="0" w:space="0" w:color="auto"/>
            <w:bottom w:val="none" w:sz="0" w:space="0" w:color="auto"/>
            <w:right w:val="none" w:sz="0" w:space="0" w:color="auto"/>
          </w:divBdr>
        </w:div>
        <w:div w:id="409469706">
          <w:marLeft w:val="1166"/>
          <w:marRight w:val="0"/>
          <w:marTop w:val="77"/>
          <w:marBottom w:val="120"/>
          <w:divBdr>
            <w:top w:val="none" w:sz="0" w:space="0" w:color="auto"/>
            <w:left w:val="none" w:sz="0" w:space="0" w:color="auto"/>
            <w:bottom w:val="none" w:sz="0" w:space="0" w:color="auto"/>
            <w:right w:val="none" w:sz="0" w:space="0" w:color="auto"/>
          </w:divBdr>
        </w:div>
        <w:div w:id="1074473621">
          <w:marLeft w:val="1166"/>
          <w:marRight w:val="0"/>
          <w:marTop w:val="77"/>
          <w:marBottom w:val="120"/>
          <w:divBdr>
            <w:top w:val="none" w:sz="0" w:space="0" w:color="auto"/>
            <w:left w:val="none" w:sz="0" w:space="0" w:color="auto"/>
            <w:bottom w:val="none" w:sz="0" w:space="0" w:color="auto"/>
            <w:right w:val="none" w:sz="0" w:space="0" w:color="auto"/>
          </w:divBdr>
        </w:div>
        <w:div w:id="607547449">
          <w:marLeft w:val="1886"/>
          <w:marRight w:val="0"/>
          <w:marTop w:val="67"/>
          <w:marBottom w:val="120"/>
          <w:divBdr>
            <w:top w:val="none" w:sz="0" w:space="0" w:color="auto"/>
            <w:left w:val="none" w:sz="0" w:space="0" w:color="auto"/>
            <w:bottom w:val="none" w:sz="0" w:space="0" w:color="auto"/>
            <w:right w:val="none" w:sz="0" w:space="0" w:color="auto"/>
          </w:divBdr>
        </w:div>
        <w:div w:id="415134086">
          <w:marLeft w:val="1886"/>
          <w:marRight w:val="0"/>
          <w:marTop w:val="67"/>
          <w:marBottom w:val="120"/>
          <w:divBdr>
            <w:top w:val="none" w:sz="0" w:space="0" w:color="auto"/>
            <w:left w:val="none" w:sz="0" w:space="0" w:color="auto"/>
            <w:bottom w:val="none" w:sz="0" w:space="0" w:color="auto"/>
            <w:right w:val="none" w:sz="0" w:space="0" w:color="auto"/>
          </w:divBdr>
        </w:div>
        <w:div w:id="895974596">
          <w:marLeft w:val="1886"/>
          <w:marRight w:val="0"/>
          <w:marTop w:val="67"/>
          <w:marBottom w:val="120"/>
          <w:divBdr>
            <w:top w:val="none" w:sz="0" w:space="0" w:color="auto"/>
            <w:left w:val="none" w:sz="0" w:space="0" w:color="auto"/>
            <w:bottom w:val="none" w:sz="0" w:space="0" w:color="auto"/>
            <w:right w:val="none" w:sz="0" w:space="0" w:color="auto"/>
          </w:divBdr>
        </w:div>
        <w:div w:id="276912491">
          <w:marLeft w:val="547"/>
          <w:marRight w:val="0"/>
          <w:marTop w:val="96"/>
          <w:marBottom w:val="120"/>
          <w:divBdr>
            <w:top w:val="none" w:sz="0" w:space="0" w:color="auto"/>
            <w:left w:val="none" w:sz="0" w:space="0" w:color="auto"/>
            <w:bottom w:val="none" w:sz="0" w:space="0" w:color="auto"/>
            <w:right w:val="none" w:sz="0" w:space="0" w:color="auto"/>
          </w:divBdr>
        </w:div>
        <w:div w:id="2116056653">
          <w:marLeft w:val="1166"/>
          <w:marRight w:val="0"/>
          <w:marTop w:val="77"/>
          <w:marBottom w:val="120"/>
          <w:divBdr>
            <w:top w:val="none" w:sz="0" w:space="0" w:color="auto"/>
            <w:left w:val="none" w:sz="0" w:space="0" w:color="auto"/>
            <w:bottom w:val="none" w:sz="0" w:space="0" w:color="auto"/>
            <w:right w:val="none" w:sz="0" w:space="0" w:color="auto"/>
          </w:divBdr>
        </w:div>
        <w:div w:id="1643268312">
          <w:marLeft w:val="1166"/>
          <w:marRight w:val="0"/>
          <w:marTop w:val="77"/>
          <w:marBottom w:val="120"/>
          <w:divBdr>
            <w:top w:val="none" w:sz="0" w:space="0" w:color="auto"/>
            <w:left w:val="none" w:sz="0" w:space="0" w:color="auto"/>
            <w:bottom w:val="none" w:sz="0" w:space="0" w:color="auto"/>
            <w:right w:val="none" w:sz="0" w:space="0" w:color="auto"/>
          </w:divBdr>
        </w:div>
      </w:divsChild>
    </w:div>
    <w:div w:id="686248175">
      <w:bodyDiv w:val="1"/>
      <w:marLeft w:val="0"/>
      <w:marRight w:val="0"/>
      <w:marTop w:val="0"/>
      <w:marBottom w:val="0"/>
      <w:divBdr>
        <w:top w:val="none" w:sz="0" w:space="0" w:color="auto"/>
        <w:left w:val="none" w:sz="0" w:space="0" w:color="auto"/>
        <w:bottom w:val="none" w:sz="0" w:space="0" w:color="auto"/>
        <w:right w:val="none" w:sz="0" w:space="0" w:color="auto"/>
      </w:divBdr>
      <w:divsChild>
        <w:div w:id="1472284744">
          <w:marLeft w:val="446"/>
          <w:marRight w:val="0"/>
          <w:marTop w:val="0"/>
          <w:marBottom w:val="0"/>
          <w:divBdr>
            <w:top w:val="none" w:sz="0" w:space="0" w:color="auto"/>
            <w:left w:val="none" w:sz="0" w:space="0" w:color="auto"/>
            <w:bottom w:val="none" w:sz="0" w:space="0" w:color="auto"/>
            <w:right w:val="none" w:sz="0" w:space="0" w:color="auto"/>
          </w:divBdr>
        </w:div>
        <w:div w:id="1983462514">
          <w:marLeft w:val="446"/>
          <w:marRight w:val="0"/>
          <w:marTop w:val="0"/>
          <w:marBottom w:val="0"/>
          <w:divBdr>
            <w:top w:val="none" w:sz="0" w:space="0" w:color="auto"/>
            <w:left w:val="none" w:sz="0" w:space="0" w:color="auto"/>
            <w:bottom w:val="none" w:sz="0" w:space="0" w:color="auto"/>
            <w:right w:val="none" w:sz="0" w:space="0" w:color="auto"/>
          </w:divBdr>
        </w:div>
        <w:div w:id="377240198">
          <w:marLeft w:val="446"/>
          <w:marRight w:val="0"/>
          <w:marTop w:val="0"/>
          <w:marBottom w:val="0"/>
          <w:divBdr>
            <w:top w:val="none" w:sz="0" w:space="0" w:color="auto"/>
            <w:left w:val="none" w:sz="0" w:space="0" w:color="auto"/>
            <w:bottom w:val="none" w:sz="0" w:space="0" w:color="auto"/>
            <w:right w:val="none" w:sz="0" w:space="0" w:color="auto"/>
          </w:divBdr>
        </w:div>
        <w:div w:id="1275479158">
          <w:marLeft w:val="446"/>
          <w:marRight w:val="0"/>
          <w:marTop w:val="0"/>
          <w:marBottom w:val="0"/>
          <w:divBdr>
            <w:top w:val="none" w:sz="0" w:space="0" w:color="auto"/>
            <w:left w:val="none" w:sz="0" w:space="0" w:color="auto"/>
            <w:bottom w:val="none" w:sz="0" w:space="0" w:color="auto"/>
            <w:right w:val="none" w:sz="0" w:space="0" w:color="auto"/>
          </w:divBdr>
        </w:div>
        <w:div w:id="706293752">
          <w:marLeft w:val="446"/>
          <w:marRight w:val="0"/>
          <w:marTop w:val="0"/>
          <w:marBottom w:val="0"/>
          <w:divBdr>
            <w:top w:val="none" w:sz="0" w:space="0" w:color="auto"/>
            <w:left w:val="none" w:sz="0" w:space="0" w:color="auto"/>
            <w:bottom w:val="none" w:sz="0" w:space="0" w:color="auto"/>
            <w:right w:val="none" w:sz="0" w:space="0" w:color="auto"/>
          </w:divBdr>
        </w:div>
        <w:div w:id="108941928">
          <w:marLeft w:val="446"/>
          <w:marRight w:val="0"/>
          <w:marTop w:val="0"/>
          <w:marBottom w:val="0"/>
          <w:divBdr>
            <w:top w:val="none" w:sz="0" w:space="0" w:color="auto"/>
            <w:left w:val="none" w:sz="0" w:space="0" w:color="auto"/>
            <w:bottom w:val="none" w:sz="0" w:space="0" w:color="auto"/>
            <w:right w:val="none" w:sz="0" w:space="0" w:color="auto"/>
          </w:divBdr>
        </w:div>
        <w:div w:id="2055033700">
          <w:marLeft w:val="446"/>
          <w:marRight w:val="0"/>
          <w:marTop w:val="0"/>
          <w:marBottom w:val="0"/>
          <w:divBdr>
            <w:top w:val="none" w:sz="0" w:space="0" w:color="auto"/>
            <w:left w:val="none" w:sz="0" w:space="0" w:color="auto"/>
            <w:bottom w:val="none" w:sz="0" w:space="0" w:color="auto"/>
            <w:right w:val="none" w:sz="0" w:space="0" w:color="auto"/>
          </w:divBdr>
        </w:div>
        <w:div w:id="975573454">
          <w:marLeft w:val="446"/>
          <w:marRight w:val="0"/>
          <w:marTop w:val="0"/>
          <w:marBottom w:val="0"/>
          <w:divBdr>
            <w:top w:val="none" w:sz="0" w:space="0" w:color="auto"/>
            <w:left w:val="none" w:sz="0" w:space="0" w:color="auto"/>
            <w:bottom w:val="none" w:sz="0" w:space="0" w:color="auto"/>
            <w:right w:val="none" w:sz="0" w:space="0" w:color="auto"/>
          </w:divBdr>
        </w:div>
        <w:div w:id="1280256832">
          <w:marLeft w:val="446"/>
          <w:marRight w:val="0"/>
          <w:marTop w:val="0"/>
          <w:marBottom w:val="0"/>
          <w:divBdr>
            <w:top w:val="none" w:sz="0" w:space="0" w:color="auto"/>
            <w:left w:val="none" w:sz="0" w:space="0" w:color="auto"/>
            <w:bottom w:val="none" w:sz="0" w:space="0" w:color="auto"/>
            <w:right w:val="none" w:sz="0" w:space="0" w:color="auto"/>
          </w:divBdr>
        </w:div>
        <w:div w:id="203955226">
          <w:marLeft w:val="446"/>
          <w:marRight w:val="0"/>
          <w:marTop w:val="0"/>
          <w:marBottom w:val="0"/>
          <w:divBdr>
            <w:top w:val="none" w:sz="0" w:space="0" w:color="auto"/>
            <w:left w:val="none" w:sz="0" w:space="0" w:color="auto"/>
            <w:bottom w:val="none" w:sz="0" w:space="0" w:color="auto"/>
            <w:right w:val="none" w:sz="0" w:space="0" w:color="auto"/>
          </w:divBdr>
        </w:div>
        <w:div w:id="1737319270">
          <w:marLeft w:val="446"/>
          <w:marRight w:val="0"/>
          <w:marTop w:val="0"/>
          <w:marBottom w:val="0"/>
          <w:divBdr>
            <w:top w:val="none" w:sz="0" w:space="0" w:color="auto"/>
            <w:left w:val="none" w:sz="0" w:space="0" w:color="auto"/>
            <w:bottom w:val="none" w:sz="0" w:space="0" w:color="auto"/>
            <w:right w:val="none" w:sz="0" w:space="0" w:color="auto"/>
          </w:divBdr>
        </w:div>
        <w:div w:id="1057243055">
          <w:marLeft w:val="446"/>
          <w:marRight w:val="0"/>
          <w:marTop w:val="0"/>
          <w:marBottom w:val="0"/>
          <w:divBdr>
            <w:top w:val="none" w:sz="0" w:space="0" w:color="auto"/>
            <w:left w:val="none" w:sz="0" w:space="0" w:color="auto"/>
            <w:bottom w:val="none" w:sz="0" w:space="0" w:color="auto"/>
            <w:right w:val="none" w:sz="0" w:space="0" w:color="auto"/>
          </w:divBdr>
        </w:div>
        <w:div w:id="1600720115">
          <w:marLeft w:val="446"/>
          <w:marRight w:val="0"/>
          <w:marTop w:val="0"/>
          <w:marBottom w:val="0"/>
          <w:divBdr>
            <w:top w:val="none" w:sz="0" w:space="0" w:color="auto"/>
            <w:left w:val="none" w:sz="0" w:space="0" w:color="auto"/>
            <w:bottom w:val="none" w:sz="0" w:space="0" w:color="auto"/>
            <w:right w:val="none" w:sz="0" w:space="0" w:color="auto"/>
          </w:divBdr>
        </w:div>
        <w:div w:id="462314147">
          <w:marLeft w:val="446"/>
          <w:marRight w:val="0"/>
          <w:marTop w:val="0"/>
          <w:marBottom w:val="0"/>
          <w:divBdr>
            <w:top w:val="none" w:sz="0" w:space="0" w:color="auto"/>
            <w:left w:val="none" w:sz="0" w:space="0" w:color="auto"/>
            <w:bottom w:val="none" w:sz="0" w:space="0" w:color="auto"/>
            <w:right w:val="none" w:sz="0" w:space="0" w:color="auto"/>
          </w:divBdr>
        </w:div>
        <w:div w:id="880871789">
          <w:marLeft w:val="446"/>
          <w:marRight w:val="0"/>
          <w:marTop w:val="0"/>
          <w:marBottom w:val="0"/>
          <w:divBdr>
            <w:top w:val="none" w:sz="0" w:space="0" w:color="auto"/>
            <w:left w:val="none" w:sz="0" w:space="0" w:color="auto"/>
            <w:bottom w:val="none" w:sz="0" w:space="0" w:color="auto"/>
            <w:right w:val="none" w:sz="0" w:space="0" w:color="auto"/>
          </w:divBdr>
        </w:div>
      </w:divsChild>
    </w:div>
    <w:div w:id="791360272">
      <w:bodyDiv w:val="1"/>
      <w:marLeft w:val="0"/>
      <w:marRight w:val="0"/>
      <w:marTop w:val="0"/>
      <w:marBottom w:val="0"/>
      <w:divBdr>
        <w:top w:val="none" w:sz="0" w:space="0" w:color="auto"/>
        <w:left w:val="none" w:sz="0" w:space="0" w:color="auto"/>
        <w:bottom w:val="none" w:sz="0" w:space="0" w:color="auto"/>
        <w:right w:val="none" w:sz="0" w:space="0" w:color="auto"/>
      </w:divBdr>
    </w:div>
    <w:div w:id="1058472949">
      <w:bodyDiv w:val="1"/>
      <w:marLeft w:val="0"/>
      <w:marRight w:val="0"/>
      <w:marTop w:val="0"/>
      <w:marBottom w:val="0"/>
      <w:divBdr>
        <w:top w:val="none" w:sz="0" w:space="0" w:color="auto"/>
        <w:left w:val="none" w:sz="0" w:space="0" w:color="auto"/>
        <w:bottom w:val="none" w:sz="0" w:space="0" w:color="auto"/>
        <w:right w:val="none" w:sz="0" w:space="0" w:color="auto"/>
      </w:divBdr>
      <w:divsChild>
        <w:div w:id="784496182">
          <w:marLeft w:val="1166"/>
          <w:marRight w:val="0"/>
          <w:marTop w:val="86"/>
          <w:marBottom w:val="120"/>
          <w:divBdr>
            <w:top w:val="none" w:sz="0" w:space="0" w:color="auto"/>
            <w:left w:val="none" w:sz="0" w:space="0" w:color="auto"/>
            <w:bottom w:val="none" w:sz="0" w:space="0" w:color="auto"/>
            <w:right w:val="none" w:sz="0" w:space="0" w:color="auto"/>
          </w:divBdr>
        </w:div>
        <w:div w:id="422799907">
          <w:marLeft w:val="1166"/>
          <w:marRight w:val="0"/>
          <w:marTop w:val="86"/>
          <w:marBottom w:val="120"/>
          <w:divBdr>
            <w:top w:val="none" w:sz="0" w:space="0" w:color="auto"/>
            <w:left w:val="none" w:sz="0" w:space="0" w:color="auto"/>
            <w:bottom w:val="none" w:sz="0" w:space="0" w:color="auto"/>
            <w:right w:val="none" w:sz="0" w:space="0" w:color="auto"/>
          </w:divBdr>
        </w:div>
        <w:div w:id="348215343">
          <w:marLeft w:val="1166"/>
          <w:marRight w:val="0"/>
          <w:marTop w:val="86"/>
          <w:marBottom w:val="120"/>
          <w:divBdr>
            <w:top w:val="none" w:sz="0" w:space="0" w:color="auto"/>
            <w:left w:val="none" w:sz="0" w:space="0" w:color="auto"/>
            <w:bottom w:val="none" w:sz="0" w:space="0" w:color="auto"/>
            <w:right w:val="none" w:sz="0" w:space="0" w:color="auto"/>
          </w:divBdr>
        </w:div>
        <w:div w:id="395510960">
          <w:marLeft w:val="1166"/>
          <w:marRight w:val="0"/>
          <w:marTop w:val="86"/>
          <w:marBottom w:val="120"/>
          <w:divBdr>
            <w:top w:val="none" w:sz="0" w:space="0" w:color="auto"/>
            <w:left w:val="none" w:sz="0" w:space="0" w:color="auto"/>
            <w:bottom w:val="none" w:sz="0" w:space="0" w:color="auto"/>
            <w:right w:val="none" w:sz="0" w:space="0" w:color="auto"/>
          </w:divBdr>
        </w:div>
        <w:div w:id="1071149073">
          <w:marLeft w:val="1166"/>
          <w:marRight w:val="0"/>
          <w:marTop w:val="86"/>
          <w:marBottom w:val="120"/>
          <w:divBdr>
            <w:top w:val="none" w:sz="0" w:space="0" w:color="auto"/>
            <w:left w:val="none" w:sz="0" w:space="0" w:color="auto"/>
            <w:bottom w:val="none" w:sz="0" w:space="0" w:color="auto"/>
            <w:right w:val="none" w:sz="0" w:space="0" w:color="auto"/>
          </w:divBdr>
        </w:div>
        <w:div w:id="220868499">
          <w:marLeft w:val="1166"/>
          <w:marRight w:val="0"/>
          <w:marTop w:val="86"/>
          <w:marBottom w:val="120"/>
          <w:divBdr>
            <w:top w:val="none" w:sz="0" w:space="0" w:color="auto"/>
            <w:left w:val="none" w:sz="0" w:space="0" w:color="auto"/>
            <w:bottom w:val="none" w:sz="0" w:space="0" w:color="auto"/>
            <w:right w:val="none" w:sz="0" w:space="0" w:color="auto"/>
          </w:divBdr>
        </w:div>
        <w:div w:id="1812988755">
          <w:marLeft w:val="1166"/>
          <w:marRight w:val="0"/>
          <w:marTop w:val="86"/>
          <w:marBottom w:val="120"/>
          <w:divBdr>
            <w:top w:val="none" w:sz="0" w:space="0" w:color="auto"/>
            <w:left w:val="none" w:sz="0" w:space="0" w:color="auto"/>
            <w:bottom w:val="none" w:sz="0" w:space="0" w:color="auto"/>
            <w:right w:val="none" w:sz="0" w:space="0" w:color="auto"/>
          </w:divBdr>
        </w:div>
        <w:div w:id="2015107843">
          <w:marLeft w:val="1166"/>
          <w:marRight w:val="0"/>
          <w:marTop w:val="86"/>
          <w:marBottom w:val="120"/>
          <w:divBdr>
            <w:top w:val="none" w:sz="0" w:space="0" w:color="auto"/>
            <w:left w:val="none" w:sz="0" w:space="0" w:color="auto"/>
            <w:bottom w:val="none" w:sz="0" w:space="0" w:color="auto"/>
            <w:right w:val="none" w:sz="0" w:space="0" w:color="auto"/>
          </w:divBdr>
        </w:div>
      </w:divsChild>
    </w:div>
    <w:div w:id="1063799540">
      <w:bodyDiv w:val="1"/>
      <w:marLeft w:val="0"/>
      <w:marRight w:val="0"/>
      <w:marTop w:val="0"/>
      <w:marBottom w:val="0"/>
      <w:divBdr>
        <w:top w:val="none" w:sz="0" w:space="0" w:color="auto"/>
        <w:left w:val="none" w:sz="0" w:space="0" w:color="auto"/>
        <w:bottom w:val="none" w:sz="0" w:space="0" w:color="auto"/>
        <w:right w:val="none" w:sz="0" w:space="0" w:color="auto"/>
      </w:divBdr>
    </w:div>
    <w:div w:id="1088963298">
      <w:bodyDiv w:val="1"/>
      <w:marLeft w:val="0"/>
      <w:marRight w:val="0"/>
      <w:marTop w:val="0"/>
      <w:marBottom w:val="0"/>
      <w:divBdr>
        <w:top w:val="none" w:sz="0" w:space="0" w:color="auto"/>
        <w:left w:val="none" w:sz="0" w:space="0" w:color="auto"/>
        <w:bottom w:val="none" w:sz="0" w:space="0" w:color="auto"/>
        <w:right w:val="none" w:sz="0" w:space="0" w:color="auto"/>
      </w:divBdr>
    </w:div>
    <w:div w:id="1185049674">
      <w:bodyDiv w:val="1"/>
      <w:marLeft w:val="0"/>
      <w:marRight w:val="0"/>
      <w:marTop w:val="0"/>
      <w:marBottom w:val="0"/>
      <w:divBdr>
        <w:top w:val="none" w:sz="0" w:space="0" w:color="auto"/>
        <w:left w:val="none" w:sz="0" w:space="0" w:color="auto"/>
        <w:bottom w:val="none" w:sz="0" w:space="0" w:color="auto"/>
        <w:right w:val="none" w:sz="0" w:space="0" w:color="auto"/>
      </w:divBdr>
      <w:divsChild>
        <w:div w:id="1181578188">
          <w:marLeft w:val="446"/>
          <w:marRight w:val="0"/>
          <w:marTop w:val="0"/>
          <w:marBottom w:val="0"/>
          <w:divBdr>
            <w:top w:val="none" w:sz="0" w:space="0" w:color="auto"/>
            <w:left w:val="none" w:sz="0" w:space="0" w:color="auto"/>
            <w:bottom w:val="none" w:sz="0" w:space="0" w:color="auto"/>
            <w:right w:val="none" w:sz="0" w:space="0" w:color="auto"/>
          </w:divBdr>
        </w:div>
        <w:div w:id="1133016184">
          <w:marLeft w:val="446"/>
          <w:marRight w:val="0"/>
          <w:marTop w:val="0"/>
          <w:marBottom w:val="0"/>
          <w:divBdr>
            <w:top w:val="none" w:sz="0" w:space="0" w:color="auto"/>
            <w:left w:val="none" w:sz="0" w:space="0" w:color="auto"/>
            <w:bottom w:val="none" w:sz="0" w:space="0" w:color="auto"/>
            <w:right w:val="none" w:sz="0" w:space="0" w:color="auto"/>
          </w:divBdr>
        </w:div>
        <w:div w:id="341710529">
          <w:marLeft w:val="446"/>
          <w:marRight w:val="0"/>
          <w:marTop w:val="0"/>
          <w:marBottom w:val="0"/>
          <w:divBdr>
            <w:top w:val="none" w:sz="0" w:space="0" w:color="auto"/>
            <w:left w:val="none" w:sz="0" w:space="0" w:color="auto"/>
            <w:bottom w:val="none" w:sz="0" w:space="0" w:color="auto"/>
            <w:right w:val="none" w:sz="0" w:space="0" w:color="auto"/>
          </w:divBdr>
        </w:div>
        <w:div w:id="732967032">
          <w:marLeft w:val="446"/>
          <w:marRight w:val="0"/>
          <w:marTop w:val="0"/>
          <w:marBottom w:val="0"/>
          <w:divBdr>
            <w:top w:val="none" w:sz="0" w:space="0" w:color="auto"/>
            <w:left w:val="none" w:sz="0" w:space="0" w:color="auto"/>
            <w:bottom w:val="none" w:sz="0" w:space="0" w:color="auto"/>
            <w:right w:val="none" w:sz="0" w:space="0" w:color="auto"/>
          </w:divBdr>
        </w:div>
        <w:div w:id="1140150485">
          <w:marLeft w:val="446"/>
          <w:marRight w:val="0"/>
          <w:marTop w:val="0"/>
          <w:marBottom w:val="0"/>
          <w:divBdr>
            <w:top w:val="none" w:sz="0" w:space="0" w:color="auto"/>
            <w:left w:val="none" w:sz="0" w:space="0" w:color="auto"/>
            <w:bottom w:val="none" w:sz="0" w:space="0" w:color="auto"/>
            <w:right w:val="none" w:sz="0" w:space="0" w:color="auto"/>
          </w:divBdr>
        </w:div>
        <w:div w:id="2142192178">
          <w:marLeft w:val="446"/>
          <w:marRight w:val="0"/>
          <w:marTop w:val="0"/>
          <w:marBottom w:val="0"/>
          <w:divBdr>
            <w:top w:val="none" w:sz="0" w:space="0" w:color="auto"/>
            <w:left w:val="none" w:sz="0" w:space="0" w:color="auto"/>
            <w:bottom w:val="none" w:sz="0" w:space="0" w:color="auto"/>
            <w:right w:val="none" w:sz="0" w:space="0" w:color="auto"/>
          </w:divBdr>
        </w:div>
        <w:div w:id="718893219">
          <w:marLeft w:val="446"/>
          <w:marRight w:val="0"/>
          <w:marTop w:val="0"/>
          <w:marBottom w:val="0"/>
          <w:divBdr>
            <w:top w:val="none" w:sz="0" w:space="0" w:color="auto"/>
            <w:left w:val="none" w:sz="0" w:space="0" w:color="auto"/>
            <w:bottom w:val="none" w:sz="0" w:space="0" w:color="auto"/>
            <w:right w:val="none" w:sz="0" w:space="0" w:color="auto"/>
          </w:divBdr>
        </w:div>
        <w:div w:id="1194882564">
          <w:marLeft w:val="446"/>
          <w:marRight w:val="0"/>
          <w:marTop w:val="0"/>
          <w:marBottom w:val="0"/>
          <w:divBdr>
            <w:top w:val="none" w:sz="0" w:space="0" w:color="auto"/>
            <w:left w:val="none" w:sz="0" w:space="0" w:color="auto"/>
            <w:bottom w:val="none" w:sz="0" w:space="0" w:color="auto"/>
            <w:right w:val="none" w:sz="0" w:space="0" w:color="auto"/>
          </w:divBdr>
        </w:div>
        <w:div w:id="1178736120">
          <w:marLeft w:val="446"/>
          <w:marRight w:val="0"/>
          <w:marTop w:val="0"/>
          <w:marBottom w:val="0"/>
          <w:divBdr>
            <w:top w:val="none" w:sz="0" w:space="0" w:color="auto"/>
            <w:left w:val="none" w:sz="0" w:space="0" w:color="auto"/>
            <w:bottom w:val="none" w:sz="0" w:space="0" w:color="auto"/>
            <w:right w:val="none" w:sz="0" w:space="0" w:color="auto"/>
          </w:divBdr>
        </w:div>
        <w:div w:id="1655333295">
          <w:marLeft w:val="446"/>
          <w:marRight w:val="0"/>
          <w:marTop w:val="0"/>
          <w:marBottom w:val="0"/>
          <w:divBdr>
            <w:top w:val="none" w:sz="0" w:space="0" w:color="auto"/>
            <w:left w:val="none" w:sz="0" w:space="0" w:color="auto"/>
            <w:bottom w:val="none" w:sz="0" w:space="0" w:color="auto"/>
            <w:right w:val="none" w:sz="0" w:space="0" w:color="auto"/>
          </w:divBdr>
        </w:div>
        <w:div w:id="1025323106">
          <w:marLeft w:val="446"/>
          <w:marRight w:val="0"/>
          <w:marTop w:val="0"/>
          <w:marBottom w:val="0"/>
          <w:divBdr>
            <w:top w:val="none" w:sz="0" w:space="0" w:color="auto"/>
            <w:left w:val="none" w:sz="0" w:space="0" w:color="auto"/>
            <w:bottom w:val="none" w:sz="0" w:space="0" w:color="auto"/>
            <w:right w:val="none" w:sz="0" w:space="0" w:color="auto"/>
          </w:divBdr>
        </w:div>
        <w:div w:id="1594165941">
          <w:marLeft w:val="446"/>
          <w:marRight w:val="0"/>
          <w:marTop w:val="0"/>
          <w:marBottom w:val="0"/>
          <w:divBdr>
            <w:top w:val="none" w:sz="0" w:space="0" w:color="auto"/>
            <w:left w:val="none" w:sz="0" w:space="0" w:color="auto"/>
            <w:bottom w:val="none" w:sz="0" w:space="0" w:color="auto"/>
            <w:right w:val="none" w:sz="0" w:space="0" w:color="auto"/>
          </w:divBdr>
        </w:div>
        <w:div w:id="625620788">
          <w:marLeft w:val="446"/>
          <w:marRight w:val="0"/>
          <w:marTop w:val="0"/>
          <w:marBottom w:val="0"/>
          <w:divBdr>
            <w:top w:val="none" w:sz="0" w:space="0" w:color="auto"/>
            <w:left w:val="none" w:sz="0" w:space="0" w:color="auto"/>
            <w:bottom w:val="none" w:sz="0" w:space="0" w:color="auto"/>
            <w:right w:val="none" w:sz="0" w:space="0" w:color="auto"/>
          </w:divBdr>
        </w:div>
        <w:div w:id="1700352375">
          <w:marLeft w:val="446"/>
          <w:marRight w:val="0"/>
          <w:marTop w:val="0"/>
          <w:marBottom w:val="0"/>
          <w:divBdr>
            <w:top w:val="none" w:sz="0" w:space="0" w:color="auto"/>
            <w:left w:val="none" w:sz="0" w:space="0" w:color="auto"/>
            <w:bottom w:val="none" w:sz="0" w:space="0" w:color="auto"/>
            <w:right w:val="none" w:sz="0" w:space="0" w:color="auto"/>
          </w:divBdr>
        </w:div>
        <w:div w:id="1572689549">
          <w:marLeft w:val="446"/>
          <w:marRight w:val="0"/>
          <w:marTop w:val="0"/>
          <w:marBottom w:val="0"/>
          <w:divBdr>
            <w:top w:val="none" w:sz="0" w:space="0" w:color="auto"/>
            <w:left w:val="none" w:sz="0" w:space="0" w:color="auto"/>
            <w:bottom w:val="none" w:sz="0" w:space="0" w:color="auto"/>
            <w:right w:val="none" w:sz="0" w:space="0" w:color="auto"/>
          </w:divBdr>
        </w:div>
      </w:divsChild>
    </w:div>
    <w:div w:id="1187059832">
      <w:bodyDiv w:val="1"/>
      <w:marLeft w:val="0"/>
      <w:marRight w:val="0"/>
      <w:marTop w:val="0"/>
      <w:marBottom w:val="0"/>
      <w:divBdr>
        <w:top w:val="none" w:sz="0" w:space="0" w:color="auto"/>
        <w:left w:val="none" w:sz="0" w:space="0" w:color="auto"/>
        <w:bottom w:val="none" w:sz="0" w:space="0" w:color="auto"/>
        <w:right w:val="none" w:sz="0" w:space="0" w:color="auto"/>
      </w:divBdr>
    </w:div>
    <w:div w:id="1189022311">
      <w:bodyDiv w:val="1"/>
      <w:marLeft w:val="0"/>
      <w:marRight w:val="0"/>
      <w:marTop w:val="0"/>
      <w:marBottom w:val="0"/>
      <w:divBdr>
        <w:top w:val="none" w:sz="0" w:space="0" w:color="auto"/>
        <w:left w:val="none" w:sz="0" w:space="0" w:color="auto"/>
        <w:bottom w:val="none" w:sz="0" w:space="0" w:color="auto"/>
        <w:right w:val="none" w:sz="0" w:space="0" w:color="auto"/>
      </w:divBdr>
    </w:div>
    <w:div w:id="1255169663">
      <w:bodyDiv w:val="1"/>
      <w:marLeft w:val="0"/>
      <w:marRight w:val="0"/>
      <w:marTop w:val="0"/>
      <w:marBottom w:val="0"/>
      <w:divBdr>
        <w:top w:val="none" w:sz="0" w:space="0" w:color="auto"/>
        <w:left w:val="none" w:sz="0" w:space="0" w:color="auto"/>
        <w:bottom w:val="none" w:sz="0" w:space="0" w:color="auto"/>
        <w:right w:val="none" w:sz="0" w:space="0" w:color="auto"/>
      </w:divBdr>
    </w:div>
    <w:div w:id="1389306606">
      <w:bodyDiv w:val="1"/>
      <w:marLeft w:val="0"/>
      <w:marRight w:val="0"/>
      <w:marTop w:val="0"/>
      <w:marBottom w:val="0"/>
      <w:divBdr>
        <w:top w:val="none" w:sz="0" w:space="0" w:color="auto"/>
        <w:left w:val="none" w:sz="0" w:space="0" w:color="auto"/>
        <w:bottom w:val="none" w:sz="0" w:space="0" w:color="auto"/>
        <w:right w:val="none" w:sz="0" w:space="0" w:color="auto"/>
      </w:divBdr>
    </w:div>
    <w:div w:id="1445225974">
      <w:bodyDiv w:val="1"/>
      <w:marLeft w:val="0"/>
      <w:marRight w:val="0"/>
      <w:marTop w:val="0"/>
      <w:marBottom w:val="0"/>
      <w:divBdr>
        <w:top w:val="none" w:sz="0" w:space="0" w:color="auto"/>
        <w:left w:val="none" w:sz="0" w:space="0" w:color="auto"/>
        <w:bottom w:val="none" w:sz="0" w:space="0" w:color="auto"/>
        <w:right w:val="none" w:sz="0" w:space="0" w:color="auto"/>
      </w:divBdr>
      <w:divsChild>
        <w:div w:id="1670211270">
          <w:marLeft w:val="0"/>
          <w:marRight w:val="0"/>
          <w:marTop w:val="0"/>
          <w:marBottom w:val="0"/>
          <w:divBdr>
            <w:top w:val="none" w:sz="0" w:space="0" w:color="auto"/>
            <w:left w:val="none" w:sz="0" w:space="0" w:color="auto"/>
            <w:bottom w:val="none" w:sz="0" w:space="0" w:color="auto"/>
            <w:right w:val="none" w:sz="0" w:space="0" w:color="auto"/>
          </w:divBdr>
          <w:divsChild>
            <w:div w:id="691490023">
              <w:marLeft w:val="0"/>
              <w:marRight w:val="0"/>
              <w:marTop w:val="150"/>
              <w:marBottom w:val="0"/>
              <w:divBdr>
                <w:top w:val="none" w:sz="0" w:space="0" w:color="auto"/>
                <w:left w:val="none" w:sz="0" w:space="0" w:color="auto"/>
                <w:bottom w:val="none" w:sz="0" w:space="0" w:color="auto"/>
                <w:right w:val="none" w:sz="0" w:space="0" w:color="auto"/>
              </w:divBdr>
              <w:divsChild>
                <w:div w:id="509490107">
                  <w:marLeft w:val="0"/>
                  <w:marRight w:val="0"/>
                  <w:marTop w:val="0"/>
                  <w:marBottom w:val="900"/>
                  <w:divBdr>
                    <w:top w:val="none" w:sz="0" w:space="0" w:color="auto"/>
                    <w:left w:val="none" w:sz="0" w:space="0" w:color="auto"/>
                    <w:bottom w:val="none" w:sz="0" w:space="0" w:color="auto"/>
                    <w:right w:val="none" w:sz="0" w:space="0" w:color="auto"/>
                  </w:divBdr>
                  <w:divsChild>
                    <w:div w:id="458109900">
                      <w:marLeft w:val="0"/>
                      <w:marRight w:val="0"/>
                      <w:marTop w:val="0"/>
                      <w:marBottom w:val="0"/>
                      <w:divBdr>
                        <w:top w:val="none" w:sz="0" w:space="0" w:color="auto"/>
                        <w:left w:val="none" w:sz="0" w:space="0" w:color="auto"/>
                        <w:bottom w:val="none" w:sz="0" w:space="0" w:color="auto"/>
                        <w:right w:val="none" w:sz="0" w:space="0" w:color="auto"/>
                      </w:divBdr>
                      <w:divsChild>
                        <w:div w:id="225459942">
                          <w:marLeft w:val="0"/>
                          <w:marRight w:val="0"/>
                          <w:marTop w:val="0"/>
                          <w:marBottom w:val="0"/>
                          <w:divBdr>
                            <w:top w:val="none" w:sz="0" w:space="0" w:color="auto"/>
                            <w:left w:val="none" w:sz="0" w:space="0" w:color="auto"/>
                            <w:bottom w:val="none" w:sz="0" w:space="0" w:color="auto"/>
                            <w:right w:val="none" w:sz="0" w:space="0" w:color="auto"/>
                          </w:divBdr>
                          <w:divsChild>
                            <w:div w:id="890534097">
                              <w:marLeft w:val="0"/>
                              <w:marRight w:val="0"/>
                              <w:marTop w:val="0"/>
                              <w:marBottom w:val="0"/>
                              <w:divBdr>
                                <w:top w:val="none" w:sz="0" w:space="0" w:color="auto"/>
                                <w:left w:val="none" w:sz="0" w:space="0" w:color="auto"/>
                                <w:bottom w:val="none" w:sz="0" w:space="0" w:color="auto"/>
                                <w:right w:val="none" w:sz="0" w:space="0" w:color="auto"/>
                              </w:divBdr>
                              <w:divsChild>
                                <w:div w:id="1827628194">
                                  <w:marLeft w:val="0"/>
                                  <w:marRight w:val="0"/>
                                  <w:marTop w:val="0"/>
                                  <w:marBottom w:val="0"/>
                                  <w:divBdr>
                                    <w:top w:val="none" w:sz="0" w:space="0" w:color="auto"/>
                                    <w:left w:val="none" w:sz="0" w:space="0" w:color="auto"/>
                                    <w:bottom w:val="none" w:sz="0" w:space="0" w:color="auto"/>
                                    <w:right w:val="none" w:sz="0" w:space="0" w:color="auto"/>
                                  </w:divBdr>
                                  <w:divsChild>
                                    <w:div w:id="1148862331">
                                      <w:marLeft w:val="0"/>
                                      <w:marRight w:val="0"/>
                                      <w:marTop w:val="0"/>
                                      <w:marBottom w:val="0"/>
                                      <w:divBdr>
                                        <w:top w:val="none" w:sz="0" w:space="0" w:color="auto"/>
                                        <w:left w:val="none" w:sz="0" w:space="0" w:color="auto"/>
                                        <w:bottom w:val="none" w:sz="0" w:space="0" w:color="auto"/>
                                        <w:right w:val="none" w:sz="0" w:space="0" w:color="auto"/>
                                      </w:divBdr>
                                      <w:divsChild>
                                        <w:div w:id="1933929221">
                                          <w:marLeft w:val="0"/>
                                          <w:marRight w:val="0"/>
                                          <w:marTop w:val="0"/>
                                          <w:marBottom w:val="0"/>
                                          <w:divBdr>
                                            <w:top w:val="none" w:sz="0" w:space="0" w:color="auto"/>
                                            <w:left w:val="none" w:sz="0" w:space="0" w:color="auto"/>
                                            <w:bottom w:val="none" w:sz="0" w:space="0" w:color="auto"/>
                                            <w:right w:val="none" w:sz="0" w:space="0" w:color="auto"/>
                                          </w:divBdr>
                                          <w:divsChild>
                                            <w:div w:id="1768039399">
                                              <w:marLeft w:val="0"/>
                                              <w:marRight w:val="0"/>
                                              <w:marTop w:val="0"/>
                                              <w:marBottom w:val="0"/>
                                              <w:divBdr>
                                                <w:top w:val="none" w:sz="0" w:space="0" w:color="auto"/>
                                                <w:left w:val="none" w:sz="0" w:space="0" w:color="auto"/>
                                                <w:bottom w:val="none" w:sz="0" w:space="0" w:color="auto"/>
                                                <w:right w:val="none" w:sz="0" w:space="0" w:color="auto"/>
                                              </w:divBdr>
                                              <w:divsChild>
                                                <w:div w:id="1000081434">
                                                  <w:marLeft w:val="0"/>
                                                  <w:marRight w:val="0"/>
                                                  <w:marTop w:val="0"/>
                                                  <w:marBottom w:val="0"/>
                                                  <w:divBdr>
                                                    <w:top w:val="none" w:sz="0" w:space="0" w:color="auto"/>
                                                    <w:left w:val="none" w:sz="0" w:space="0" w:color="auto"/>
                                                    <w:bottom w:val="none" w:sz="0" w:space="0" w:color="auto"/>
                                                    <w:right w:val="none" w:sz="0" w:space="0" w:color="auto"/>
                                                  </w:divBdr>
                                                  <w:divsChild>
                                                    <w:div w:id="1683431177">
                                                      <w:marLeft w:val="0"/>
                                                      <w:marRight w:val="0"/>
                                                      <w:marTop w:val="0"/>
                                                      <w:marBottom w:val="0"/>
                                                      <w:divBdr>
                                                        <w:top w:val="none" w:sz="0" w:space="0" w:color="auto"/>
                                                        <w:left w:val="none" w:sz="0" w:space="0" w:color="auto"/>
                                                        <w:bottom w:val="none" w:sz="0" w:space="0" w:color="auto"/>
                                                        <w:right w:val="none" w:sz="0" w:space="0" w:color="auto"/>
                                                      </w:divBdr>
                                                      <w:divsChild>
                                                        <w:div w:id="129286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6325591">
      <w:bodyDiv w:val="1"/>
      <w:marLeft w:val="0"/>
      <w:marRight w:val="0"/>
      <w:marTop w:val="0"/>
      <w:marBottom w:val="0"/>
      <w:divBdr>
        <w:top w:val="none" w:sz="0" w:space="0" w:color="auto"/>
        <w:left w:val="none" w:sz="0" w:space="0" w:color="auto"/>
        <w:bottom w:val="none" w:sz="0" w:space="0" w:color="auto"/>
        <w:right w:val="none" w:sz="0" w:space="0" w:color="auto"/>
      </w:divBdr>
    </w:div>
    <w:div w:id="1631083664">
      <w:bodyDiv w:val="1"/>
      <w:marLeft w:val="0"/>
      <w:marRight w:val="0"/>
      <w:marTop w:val="0"/>
      <w:marBottom w:val="0"/>
      <w:divBdr>
        <w:top w:val="none" w:sz="0" w:space="0" w:color="auto"/>
        <w:left w:val="none" w:sz="0" w:space="0" w:color="auto"/>
        <w:bottom w:val="none" w:sz="0" w:space="0" w:color="auto"/>
        <w:right w:val="none" w:sz="0" w:space="0" w:color="auto"/>
      </w:divBdr>
    </w:div>
    <w:div w:id="1728844905">
      <w:bodyDiv w:val="1"/>
      <w:marLeft w:val="0"/>
      <w:marRight w:val="0"/>
      <w:marTop w:val="0"/>
      <w:marBottom w:val="0"/>
      <w:divBdr>
        <w:top w:val="none" w:sz="0" w:space="0" w:color="auto"/>
        <w:left w:val="none" w:sz="0" w:space="0" w:color="auto"/>
        <w:bottom w:val="none" w:sz="0" w:space="0" w:color="auto"/>
        <w:right w:val="none" w:sz="0" w:space="0" w:color="auto"/>
      </w:divBdr>
      <w:divsChild>
        <w:div w:id="620262770">
          <w:marLeft w:val="547"/>
          <w:marRight w:val="0"/>
          <w:marTop w:val="96"/>
          <w:marBottom w:val="0"/>
          <w:divBdr>
            <w:top w:val="none" w:sz="0" w:space="0" w:color="auto"/>
            <w:left w:val="none" w:sz="0" w:space="0" w:color="auto"/>
            <w:bottom w:val="none" w:sz="0" w:space="0" w:color="auto"/>
            <w:right w:val="none" w:sz="0" w:space="0" w:color="auto"/>
          </w:divBdr>
        </w:div>
        <w:div w:id="2116631909">
          <w:marLeft w:val="547"/>
          <w:marRight w:val="0"/>
          <w:marTop w:val="96"/>
          <w:marBottom w:val="0"/>
          <w:divBdr>
            <w:top w:val="none" w:sz="0" w:space="0" w:color="auto"/>
            <w:left w:val="none" w:sz="0" w:space="0" w:color="auto"/>
            <w:bottom w:val="none" w:sz="0" w:space="0" w:color="auto"/>
            <w:right w:val="none" w:sz="0" w:space="0" w:color="auto"/>
          </w:divBdr>
        </w:div>
      </w:divsChild>
    </w:div>
    <w:div w:id="1739550536">
      <w:bodyDiv w:val="1"/>
      <w:marLeft w:val="0"/>
      <w:marRight w:val="0"/>
      <w:marTop w:val="0"/>
      <w:marBottom w:val="0"/>
      <w:divBdr>
        <w:top w:val="none" w:sz="0" w:space="0" w:color="auto"/>
        <w:left w:val="none" w:sz="0" w:space="0" w:color="auto"/>
        <w:bottom w:val="none" w:sz="0" w:space="0" w:color="auto"/>
        <w:right w:val="none" w:sz="0" w:space="0" w:color="auto"/>
      </w:divBdr>
    </w:div>
    <w:div w:id="1924485561">
      <w:bodyDiv w:val="1"/>
      <w:marLeft w:val="0"/>
      <w:marRight w:val="0"/>
      <w:marTop w:val="0"/>
      <w:marBottom w:val="0"/>
      <w:divBdr>
        <w:top w:val="none" w:sz="0" w:space="0" w:color="auto"/>
        <w:left w:val="none" w:sz="0" w:space="0" w:color="auto"/>
        <w:bottom w:val="none" w:sz="0" w:space="0" w:color="auto"/>
        <w:right w:val="none" w:sz="0" w:space="0" w:color="auto"/>
      </w:divBdr>
    </w:div>
    <w:div w:id="1945723520">
      <w:bodyDiv w:val="1"/>
      <w:marLeft w:val="0"/>
      <w:marRight w:val="0"/>
      <w:marTop w:val="0"/>
      <w:marBottom w:val="0"/>
      <w:divBdr>
        <w:top w:val="none" w:sz="0" w:space="0" w:color="auto"/>
        <w:left w:val="none" w:sz="0" w:space="0" w:color="auto"/>
        <w:bottom w:val="none" w:sz="0" w:space="0" w:color="auto"/>
        <w:right w:val="none" w:sz="0" w:space="0" w:color="auto"/>
      </w:divBdr>
    </w:div>
    <w:div w:id="2065594138">
      <w:bodyDiv w:val="1"/>
      <w:marLeft w:val="0"/>
      <w:marRight w:val="0"/>
      <w:marTop w:val="0"/>
      <w:marBottom w:val="0"/>
      <w:divBdr>
        <w:top w:val="none" w:sz="0" w:space="0" w:color="auto"/>
        <w:left w:val="none" w:sz="0" w:space="0" w:color="auto"/>
        <w:bottom w:val="none" w:sz="0" w:space="0" w:color="auto"/>
        <w:right w:val="none" w:sz="0" w:space="0" w:color="auto"/>
      </w:divBdr>
    </w:div>
    <w:div w:id="2117141439">
      <w:bodyDiv w:val="1"/>
      <w:marLeft w:val="0"/>
      <w:marRight w:val="0"/>
      <w:marTop w:val="0"/>
      <w:marBottom w:val="0"/>
      <w:divBdr>
        <w:top w:val="none" w:sz="0" w:space="0" w:color="auto"/>
        <w:left w:val="none" w:sz="0" w:space="0" w:color="auto"/>
        <w:bottom w:val="none" w:sz="0" w:space="0" w:color="auto"/>
        <w:right w:val="none" w:sz="0" w:space="0" w:color="auto"/>
      </w:divBdr>
      <w:divsChild>
        <w:div w:id="670990265">
          <w:marLeft w:val="720"/>
          <w:marRight w:val="0"/>
          <w:marTop w:val="86"/>
          <w:marBottom w:val="0"/>
          <w:divBdr>
            <w:top w:val="none" w:sz="0" w:space="0" w:color="auto"/>
            <w:left w:val="none" w:sz="0" w:space="0" w:color="auto"/>
            <w:bottom w:val="none" w:sz="0" w:space="0" w:color="auto"/>
            <w:right w:val="none" w:sz="0" w:space="0" w:color="auto"/>
          </w:divBdr>
        </w:div>
      </w:divsChild>
    </w:div>
    <w:div w:id="2134715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charts/_rels/chart1.xml.rels><?xml version="1.0" encoding="UTF-8" standalone="yes"?>
<Relationships xmlns="http://schemas.openxmlformats.org/package/2006/relationships"><Relationship Id="rId1" Type="http://schemas.openxmlformats.org/officeDocument/2006/relationships/oleObject" Target="file:///\\net1.cec.eu.int\GROW\C\2\Common\statistics%20and%20subscriptions\Steel%20-%20Country%20fiches\Macro_sector_steel_fiches_100316_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t1.cec.eu.int\GROW\C\2\Common\statistics%20and%20subscriptions\Steel%20-%20Country%20fiches\Macro_sector_steel_fiches_100316_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lang="en-GB" sz="1100" b="0" i="0" u="none" strike="noStrike" kern="1200" baseline="0">
                <a:solidFill>
                  <a:sysClr val="windowText" lastClr="000000"/>
                </a:solidFill>
                <a:latin typeface="+mn-lt"/>
                <a:ea typeface="+mn-ea"/>
                <a:cs typeface="+mn-cs"/>
              </a:defRPr>
            </a:pPr>
            <a:r>
              <a:rPr lang="en-GB" sz="1100" b="1" i="0" u="none" strike="noStrike" kern="1200" baseline="0">
                <a:solidFill>
                  <a:sysClr val="windowText" lastClr="000000"/>
                </a:solidFill>
                <a:latin typeface="+mn-lt"/>
                <a:ea typeface="+mn-ea"/>
                <a:cs typeface="+mn-cs"/>
              </a:rPr>
              <a:t>Crude steel production per selected EU countries in 2015 (Jan-Nov)</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900"/>
                </a:pPr>
                <a:endParaRPr lang="en-US"/>
              </a:p>
            </c:txPr>
            <c:showLegendKey val="0"/>
            <c:showVal val="1"/>
            <c:showCatName val="0"/>
            <c:showSerName val="0"/>
            <c:showPercent val="0"/>
            <c:showBubbleSize val="0"/>
            <c:showLeaderLines val="0"/>
          </c:dLbls>
          <c:cat>
            <c:strRef>
              <c:f>Global!$A$35:$A$41</c:f>
              <c:strCache>
                <c:ptCount val="7"/>
                <c:pt idx="0">
                  <c:v>DE</c:v>
                </c:pt>
                <c:pt idx="1">
                  <c:v>IT</c:v>
                </c:pt>
                <c:pt idx="2">
                  <c:v>FR</c:v>
                </c:pt>
                <c:pt idx="3">
                  <c:v>ES</c:v>
                </c:pt>
                <c:pt idx="4">
                  <c:v>UK</c:v>
                </c:pt>
                <c:pt idx="5">
                  <c:v>BE/LUX</c:v>
                </c:pt>
                <c:pt idx="6">
                  <c:v>PL</c:v>
                </c:pt>
              </c:strCache>
            </c:strRef>
          </c:cat>
          <c:val>
            <c:numRef>
              <c:f>Global!$J$35:$J$41</c:f>
              <c:numCache>
                <c:formatCode>0.0</c:formatCode>
                <c:ptCount val="7"/>
                <c:pt idx="0">
                  <c:v>39.690587000000001</c:v>
                </c:pt>
                <c:pt idx="1">
                  <c:v>20.519400000000001</c:v>
                </c:pt>
                <c:pt idx="2">
                  <c:v>14.006525999999999</c:v>
                </c:pt>
                <c:pt idx="3">
                  <c:v>13.899436</c:v>
                </c:pt>
                <c:pt idx="4">
                  <c:v>10.171931000000001</c:v>
                </c:pt>
                <c:pt idx="5">
                  <c:v>8.6307969999999994</c:v>
                </c:pt>
                <c:pt idx="6">
                  <c:v>8.5463640000000005</c:v>
                </c:pt>
              </c:numCache>
            </c:numRef>
          </c:val>
        </c:ser>
        <c:dLbls>
          <c:showLegendKey val="0"/>
          <c:showVal val="1"/>
          <c:showCatName val="0"/>
          <c:showSerName val="0"/>
          <c:showPercent val="0"/>
          <c:showBubbleSize val="0"/>
        </c:dLbls>
        <c:gapWidth val="150"/>
        <c:shape val="cylinder"/>
        <c:axId val="81934976"/>
        <c:axId val="82093568"/>
        <c:axId val="0"/>
      </c:bar3DChart>
      <c:catAx>
        <c:axId val="81934976"/>
        <c:scaling>
          <c:orientation val="minMax"/>
        </c:scaling>
        <c:delete val="0"/>
        <c:axPos val="b"/>
        <c:majorTickMark val="out"/>
        <c:minorTickMark val="none"/>
        <c:tickLblPos val="nextTo"/>
        <c:crossAx val="82093568"/>
        <c:crosses val="autoZero"/>
        <c:auto val="1"/>
        <c:lblAlgn val="ctr"/>
        <c:lblOffset val="100"/>
        <c:noMultiLvlLbl val="0"/>
      </c:catAx>
      <c:valAx>
        <c:axId val="82093568"/>
        <c:scaling>
          <c:orientation val="minMax"/>
        </c:scaling>
        <c:delete val="0"/>
        <c:axPos val="l"/>
        <c:majorGridlines/>
        <c:title>
          <c:tx>
            <c:rich>
              <a:bodyPr rot="-5400000" vert="horz"/>
              <a:lstStyle/>
              <a:p>
                <a:pPr>
                  <a:defRPr sz="300"/>
                </a:pPr>
                <a:r>
                  <a:rPr lang="de-DE" sz="900" b="0" i="0" cap="all" baseline="0">
                    <a:effectLst/>
                  </a:rPr>
                  <a:t>Million tons</a:t>
                </a:r>
                <a:endParaRPr lang="en-GB" sz="300">
                  <a:effectLst/>
                </a:endParaRPr>
              </a:p>
            </c:rich>
          </c:tx>
          <c:layout>
            <c:manualLayout>
              <c:xMode val="edge"/>
              <c:yMode val="edge"/>
              <c:x val="2.8624987573108038E-2"/>
              <c:y val="0.376204584338867"/>
            </c:manualLayout>
          </c:layout>
          <c:overlay val="0"/>
        </c:title>
        <c:numFmt formatCode="0" sourceLinked="0"/>
        <c:majorTickMark val="out"/>
        <c:minorTickMark val="none"/>
        <c:tickLblPos val="nextTo"/>
        <c:crossAx val="819349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100" b="0"/>
            </a:pPr>
            <a:r>
              <a:rPr lang="de-DE" sz="1100" b="1"/>
              <a:t>World crude</a:t>
            </a:r>
            <a:r>
              <a:rPr lang="de-DE" sz="1100" b="1" baseline="0"/>
              <a:t> steel </a:t>
            </a:r>
            <a:r>
              <a:rPr lang="de-DE" sz="1100" b="1"/>
              <a:t>production in 2015</a:t>
            </a:r>
          </a:p>
        </c:rich>
      </c:tx>
      <c:layout/>
      <c:overlay val="0"/>
    </c:title>
    <c:autoTitleDeleted val="0"/>
    <c:plotArea>
      <c:layout>
        <c:manualLayout>
          <c:layoutTarget val="inner"/>
          <c:xMode val="edge"/>
          <c:yMode val="edge"/>
          <c:x val="0.30258140168896391"/>
          <c:y val="0.18612429161761043"/>
          <c:w val="0.39044597339818721"/>
          <c:h val="0.69883889493120777"/>
        </c:manualLayout>
      </c:layout>
      <c:pieChart>
        <c:varyColors val="1"/>
        <c:ser>
          <c:idx val="0"/>
          <c:order val="0"/>
          <c:dPt>
            <c:idx val="0"/>
            <c:bubble3D val="0"/>
            <c:extLst xmlns:c16r2="http://schemas.microsoft.com/office/drawing/2015/06/chart">
              <c:ext xmlns:c16="http://schemas.microsoft.com/office/drawing/2014/chart" uri="{C3380CC4-5D6E-409C-BE32-E72D297353CC}">
                <c16:uniqueId val="{00000001-2CC7-4A14-93D3-DD91A2AC6159}"/>
              </c:ext>
            </c:extLst>
          </c:dPt>
          <c:dPt>
            <c:idx val="1"/>
            <c:bubble3D val="0"/>
            <c:extLst xmlns:c16r2="http://schemas.microsoft.com/office/drawing/2015/06/chart">
              <c:ext xmlns:c16="http://schemas.microsoft.com/office/drawing/2014/chart" uri="{C3380CC4-5D6E-409C-BE32-E72D297353CC}">
                <c16:uniqueId val="{00000003-2CC7-4A14-93D3-DD91A2AC6159}"/>
              </c:ext>
            </c:extLst>
          </c:dPt>
          <c:dPt>
            <c:idx val="2"/>
            <c:bubble3D val="0"/>
            <c:extLst xmlns:c16r2="http://schemas.microsoft.com/office/drawing/2015/06/chart">
              <c:ext xmlns:c16="http://schemas.microsoft.com/office/drawing/2014/chart" uri="{C3380CC4-5D6E-409C-BE32-E72D297353CC}">
                <c16:uniqueId val="{00000005-2CC7-4A14-93D3-DD91A2AC6159}"/>
              </c:ext>
            </c:extLst>
          </c:dPt>
          <c:dPt>
            <c:idx val="3"/>
            <c:bubble3D val="0"/>
            <c:extLst xmlns:c16r2="http://schemas.microsoft.com/office/drawing/2015/06/chart">
              <c:ext xmlns:c16="http://schemas.microsoft.com/office/drawing/2014/chart" uri="{C3380CC4-5D6E-409C-BE32-E72D297353CC}">
                <c16:uniqueId val="{00000007-2CC7-4A14-93D3-DD91A2AC6159}"/>
              </c:ext>
            </c:extLst>
          </c:dPt>
          <c:dPt>
            <c:idx val="4"/>
            <c:bubble3D val="0"/>
            <c:extLst xmlns:c16r2="http://schemas.microsoft.com/office/drawing/2015/06/chart">
              <c:ext xmlns:c16="http://schemas.microsoft.com/office/drawing/2014/chart" uri="{C3380CC4-5D6E-409C-BE32-E72D297353CC}">
                <c16:uniqueId val="{00000009-2CC7-4A14-93D3-DD91A2AC6159}"/>
              </c:ext>
            </c:extLst>
          </c:dPt>
          <c:dPt>
            <c:idx val="5"/>
            <c:bubble3D val="0"/>
            <c:extLst xmlns:c16r2="http://schemas.microsoft.com/office/drawing/2015/06/chart">
              <c:ext xmlns:c16="http://schemas.microsoft.com/office/drawing/2014/chart" uri="{C3380CC4-5D6E-409C-BE32-E72D297353CC}">
                <c16:uniqueId val="{0000000B-2CC7-4A14-93D3-DD91A2AC6159}"/>
              </c:ext>
            </c:extLst>
          </c:dPt>
          <c:dPt>
            <c:idx val="6"/>
            <c:bubble3D val="0"/>
            <c:extLst xmlns:c16r2="http://schemas.microsoft.com/office/drawing/2015/06/chart">
              <c:ext xmlns:c16="http://schemas.microsoft.com/office/drawing/2014/chart" uri="{C3380CC4-5D6E-409C-BE32-E72D297353CC}">
                <c16:uniqueId val="{0000000D-2CC7-4A14-93D3-DD91A2AC6159}"/>
              </c:ext>
            </c:extLst>
          </c:dPt>
          <c:dPt>
            <c:idx val="7"/>
            <c:bubble3D val="0"/>
            <c:extLst xmlns:c16r2="http://schemas.microsoft.com/office/drawing/2015/06/chart">
              <c:ext xmlns:c16="http://schemas.microsoft.com/office/drawing/2014/chart" uri="{C3380CC4-5D6E-409C-BE32-E72D297353CC}">
                <c16:uniqueId val="{0000000F-2CC7-4A14-93D3-DD91A2AC6159}"/>
              </c:ext>
            </c:extLst>
          </c:dPt>
          <c:dPt>
            <c:idx val="8"/>
            <c:bubble3D val="0"/>
            <c:extLst xmlns:c16r2="http://schemas.microsoft.com/office/drawing/2015/06/chart">
              <c:ext xmlns:c16="http://schemas.microsoft.com/office/drawing/2014/chart" uri="{C3380CC4-5D6E-409C-BE32-E72D297353CC}">
                <c16:uniqueId val="{00000011-2CC7-4A14-93D3-DD91A2AC6159}"/>
              </c:ext>
            </c:extLst>
          </c:dPt>
          <c:dPt>
            <c:idx val="9"/>
            <c:bubble3D val="0"/>
            <c:extLst xmlns:c16r2="http://schemas.microsoft.com/office/drawing/2015/06/chart">
              <c:ext xmlns:c16="http://schemas.microsoft.com/office/drawing/2014/chart" uri="{C3380CC4-5D6E-409C-BE32-E72D297353CC}">
                <c16:uniqueId val="{00000013-2CC7-4A14-93D3-DD91A2AC6159}"/>
              </c:ext>
            </c:extLst>
          </c:dPt>
          <c:dPt>
            <c:idx val="10"/>
            <c:bubble3D val="0"/>
            <c:extLst xmlns:c16r2="http://schemas.microsoft.com/office/drawing/2015/06/chart">
              <c:ext xmlns:c16="http://schemas.microsoft.com/office/drawing/2014/chart" uri="{C3380CC4-5D6E-409C-BE32-E72D297353CC}">
                <c16:uniqueId val="{00000015-2CC7-4A14-93D3-DD91A2AC6159}"/>
              </c:ext>
            </c:extLst>
          </c:dPt>
          <c:dLbls>
            <c:numFmt formatCode="0.0%" sourceLinked="0"/>
            <c:txPr>
              <a:bodyPr rot="0" vert="horz"/>
              <a:lstStyle/>
              <a:p>
                <a:pPr>
                  <a:defRPr/>
                </a:pPr>
                <a:endParaRPr lang="en-US"/>
              </a:p>
            </c:txPr>
            <c:dLblPos val="bestFit"/>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15:spPr xmlns:c15="http://schemas.microsoft.com/office/drawing/2012/chart">
                  <a:prstGeom prst="borderCallout2">
                    <a:avLst/>
                  </a:prstGeom>
                  <a:noFill/>
                  <a:ln>
                    <a:noFill/>
                  </a:ln>
                </c15:spPr>
              </c:ext>
            </c:extLst>
          </c:dLbls>
          <c:cat>
            <c:strRef>
              <c:f>Global!$A$228:$A$237</c:f>
              <c:strCache>
                <c:ptCount val="10"/>
                <c:pt idx="0">
                  <c:v>China</c:v>
                </c:pt>
                <c:pt idx="1">
                  <c:v>EU 28</c:v>
                </c:pt>
                <c:pt idx="2">
                  <c:v>Others</c:v>
                </c:pt>
                <c:pt idx="3">
                  <c:v>Japan</c:v>
                </c:pt>
                <c:pt idx="4">
                  <c:v>India</c:v>
                </c:pt>
                <c:pt idx="5">
                  <c:v>United States</c:v>
                </c:pt>
                <c:pt idx="6">
                  <c:v>Russia</c:v>
                </c:pt>
                <c:pt idx="7">
                  <c:v>S. Korea</c:v>
                </c:pt>
                <c:pt idx="8">
                  <c:v>Brazil</c:v>
                </c:pt>
                <c:pt idx="9">
                  <c:v>Turkey</c:v>
                </c:pt>
              </c:strCache>
            </c:strRef>
          </c:cat>
          <c:val>
            <c:numRef>
              <c:f>Global!$B$228:$B$237</c:f>
              <c:numCache>
                <c:formatCode>0.0</c:formatCode>
                <c:ptCount val="10"/>
                <c:pt idx="0">
                  <c:v>803.83</c:v>
                </c:pt>
                <c:pt idx="1">
                  <c:v>166.18100000000001</c:v>
                </c:pt>
                <c:pt idx="2">
                  <c:v>150.27400000000003</c:v>
                </c:pt>
                <c:pt idx="3">
                  <c:v>105.152</c:v>
                </c:pt>
                <c:pt idx="4">
                  <c:v>89.581999999999994</c:v>
                </c:pt>
                <c:pt idx="5">
                  <c:v>78.915999999999997</c:v>
                </c:pt>
                <c:pt idx="6">
                  <c:v>71.144000000000005</c:v>
                </c:pt>
                <c:pt idx="7">
                  <c:v>69.673000000000002</c:v>
                </c:pt>
                <c:pt idx="8">
                  <c:v>33.244999999999997</c:v>
                </c:pt>
                <c:pt idx="9">
                  <c:v>31.516999999999999</c:v>
                </c:pt>
              </c:numCache>
            </c:numRef>
          </c:val>
          <c:extLst xmlns:c16r2="http://schemas.microsoft.com/office/drawing/2015/06/chart">
            <c:ext xmlns:c16="http://schemas.microsoft.com/office/drawing/2014/chart" uri="{C3380CC4-5D6E-409C-BE32-E72D297353CC}">
              <c16:uniqueId val="{00000016-2CC7-4A14-93D3-DD91A2AC6159}"/>
            </c:ext>
          </c:extLst>
        </c:ser>
        <c:dLbls>
          <c:dLblPos val="bestFit"/>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FAE1-ADB4-44B4-9165-D90A869C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4650</Words>
  <Characters>26511</Characters>
  <Application>Microsoft Office Word</Application>
  <DocSecurity>0</DocSecurity>
  <Lines>220</Lines>
  <Paragraphs>62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2016-03-15T17:18:00Z</dcterms:created>
  <dcterms:modified xsi:type="dcterms:W3CDTF">2016-03-16T11:01:00Z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Classification">
    <vt:lpwstr> </vt:lpwstr>
  </property>
  <property fmtid="{D5CDD505-2E9C-101B-9397-08002B2CF9AE}" pid="5" name="DocStatus">
    <vt:lpwstr>Green</vt:lpwstr>
  </property>
</Properties>
</file>