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4C" w:rsidRPr="00CA02A9" w:rsidRDefault="00CA02A9" w:rsidP="009229AC">
      <w:pPr>
        <w:rPr>
          <w:rFonts w:ascii="Times New Roman" w:hAnsi="Times New Roman"/>
          <w:b/>
          <w:bCs/>
          <w:color w:val="0E2034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Veřejná k</w:t>
      </w:r>
      <w:r w:rsidR="008F63EB" w:rsidRPr="00CA02A9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onzultace</w:t>
      </w:r>
      <w:r w:rsidR="004665B0" w:rsidRPr="00CA02A9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 - </w:t>
      </w:r>
      <w:r w:rsidR="006611EC" w:rsidRPr="00CA02A9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Poplatky za udržování patentu </w:t>
      </w:r>
      <w:r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s jednotným účinkem </w:t>
      </w:r>
      <w:r w:rsidR="006611EC" w:rsidRPr="00CA02A9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v</w:t>
      </w:r>
      <w:r w:rsidR="0099534C" w:rsidRPr="00CA02A9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 </w:t>
      </w:r>
      <w:r w:rsidR="006611EC" w:rsidRPr="00CA02A9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platnosti</w:t>
      </w:r>
    </w:p>
    <w:p w:rsidR="00A95B35" w:rsidRPr="006A4AC6" w:rsidRDefault="00A95B35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582A07" w:rsidRDefault="006D2DF9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582A07">
        <w:rPr>
          <w:rFonts w:ascii="Times New Roman" w:hAnsi="Times New Roman"/>
          <w:b/>
          <w:bCs/>
          <w:color w:val="0E2034"/>
          <w:sz w:val="24"/>
          <w:szCs w:val="24"/>
        </w:rPr>
        <w:t>Reform</w:t>
      </w:r>
      <w:r w:rsidR="00A95B35" w:rsidRPr="00582A07">
        <w:rPr>
          <w:rFonts w:ascii="Times New Roman" w:hAnsi="Times New Roman"/>
          <w:b/>
          <w:bCs/>
          <w:color w:val="0E2034"/>
          <w:sz w:val="24"/>
          <w:szCs w:val="24"/>
        </w:rPr>
        <w:t>a</w:t>
      </w:r>
      <w:r w:rsidRPr="00582A07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  <w:r w:rsidR="0099534C" w:rsidRPr="00582A07">
        <w:rPr>
          <w:rFonts w:ascii="Times New Roman" w:hAnsi="Times New Roman"/>
          <w:b/>
          <w:bCs/>
          <w:color w:val="0E2034"/>
          <w:sz w:val="24"/>
          <w:szCs w:val="24"/>
        </w:rPr>
        <w:t>systém</w:t>
      </w:r>
      <w:r w:rsidRPr="00582A07">
        <w:rPr>
          <w:rFonts w:ascii="Times New Roman" w:hAnsi="Times New Roman"/>
          <w:b/>
          <w:bCs/>
          <w:color w:val="0E2034"/>
          <w:sz w:val="24"/>
          <w:szCs w:val="24"/>
        </w:rPr>
        <w:t>u</w:t>
      </w:r>
      <w:r w:rsidR="0099534C" w:rsidRPr="00582A07">
        <w:rPr>
          <w:rFonts w:ascii="Times New Roman" w:hAnsi="Times New Roman"/>
          <w:b/>
          <w:bCs/>
          <w:color w:val="0E2034"/>
          <w:sz w:val="24"/>
          <w:szCs w:val="24"/>
        </w:rPr>
        <w:t xml:space="preserve"> evropského patentu</w:t>
      </w:r>
      <w:r w:rsidR="00A95B35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vyústila v přijetí </w:t>
      </w:r>
      <w:r w:rsidR="00A95B35" w:rsidRPr="00582A07">
        <w:rPr>
          <w:rFonts w:ascii="Times New Roman" w:hAnsi="Times New Roman"/>
          <w:b/>
          <w:bCs/>
          <w:color w:val="0E2034"/>
          <w:sz w:val="24"/>
          <w:szCs w:val="24"/>
        </w:rPr>
        <w:t>dvou nařízení</w:t>
      </w:r>
      <w:r w:rsidR="00043077" w:rsidRPr="00582A07">
        <w:rPr>
          <w:rFonts w:ascii="Times New Roman" w:hAnsi="Times New Roman"/>
          <w:b/>
          <w:bCs/>
          <w:color w:val="0E2034"/>
          <w:sz w:val="24"/>
          <w:szCs w:val="24"/>
        </w:rPr>
        <w:t xml:space="preserve"> Rady EU, 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na jejichž základě má vzniknout </w:t>
      </w:r>
      <w:r w:rsidR="00043077" w:rsidRPr="00582A07">
        <w:rPr>
          <w:rFonts w:ascii="Times New Roman" w:hAnsi="Times New Roman"/>
          <w:b/>
          <w:bCs/>
          <w:color w:val="0E2034"/>
          <w:sz w:val="24"/>
          <w:szCs w:val="24"/>
        </w:rPr>
        <w:t xml:space="preserve">nový druh evropského patentu s jednotným účinkem. 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Cílem je </w:t>
      </w:r>
      <w:r w:rsidR="00043077" w:rsidRPr="00582A07">
        <w:rPr>
          <w:rFonts w:ascii="Times New Roman" w:hAnsi="Times New Roman"/>
          <w:b/>
          <w:bCs/>
          <w:color w:val="0E2034"/>
          <w:sz w:val="24"/>
          <w:szCs w:val="24"/>
        </w:rPr>
        <w:t xml:space="preserve">zefektivnění současného systému evropského patentu, 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který je </w:t>
      </w:r>
      <w:r w:rsidR="00043077" w:rsidRPr="00582A07">
        <w:rPr>
          <w:rFonts w:ascii="Times New Roman" w:hAnsi="Times New Roman"/>
          <w:b/>
          <w:bCs/>
          <w:color w:val="0E2034"/>
          <w:sz w:val="24"/>
          <w:szCs w:val="24"/>
        </w:rPr>
        <w:t>administrativně</w:t>
      </w:r>
      <w:r w:rsidR="003A1711" w:rsidRPr="00582A07">
        <w:rPr>
          <w:rFonts w:ascii="Times New Roman" w:hAnsi="Times New Roman"/>
          <w:b/>
          <w:bCs/>
          <w:color w:val="0E2034"/>
          <w:sz w:val="24"/>
          <w:szCs w:val="24"/>
        </w:rPr>
        <w:t xml:space="preserve"> i finančně náročný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a je proto validován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v průměru pouze ve </w:t>
      </w:r>
      <w:r w:rsidR="002A66DC" w:rsidRPr="006A4AC6">
        <w:rPr>
          <w:rFonts w:ascii="Times New Roman" w:hAnsi="Times New Roman"/>
          <w:bCs/>
          <w:color w:val="0E2034"/>
          <w:sz w:val="24"/>
          <w:szCs w:val="24"/>
        </w:rPr>
        <w:t>3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>-4 členských státech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. </w:t>
      </w:r>
    </w:p>
    <w:p w:rsidR="00582A07" w:rsidRDefault="00582A07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043077" w:rsidRPr="006A4AC6" w:rsidRDefault="00AE1C06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>
        <w:rPr>
          <w:rFonts w:ascii="Times New Roman" w:hAnsi="Times New Roman"/>
          <w:bCs/>
          <w:color w:val="0E2034"/>
          <w:sz w:val="24"/>
          <w:szCs w:val="24"/>
        </w:rPr>
        <w:t xml:space="preserve">Hlavní problém současného </w:t>
      </w:r>
      <w:r w:rsidR="00043077" w:rsidRPr="00AE1C06">
        <w:rPr>
          <w:rFonts w:ascii="Times New Roman" w:hAnsi="Times New Roman"/>
          <w:b/>
          <w:bCs/>
          <w:color w:val="0E2034"/>
          <w:sz w:val="24"/>
          <w:szCs w:val="24"/>
        </w:rPr>
        <w:t>evropsk</w:t>
      </w:r>
      <w:r>
        <w:rPr>
          <w:rFonts w:ascii="Times New Roman" w:hAnsi="Times New Roman"/>
          <w:b/>
          <w:bCs/>
          <w:color w:val="0E2034"/>
          <w:sz w:val="24"/>
          <w:szCs w:val="24"/>
        </w:rPr>
        <w:t>ého patentu</w:t>
      </w:r>
      <w:r w:rsidR="0075637D">
        <w:rPr>
          <w:rFonts w:ascii="Times New Roman" w:hAnsi="Times New Roman"/>
          <w:b/>
          <w:bCs/>
          <w:color w:val="0E2034"/>
          <w:sz w:val="24"/>
          <w:szCs w:val="24"/>
        </w:rPr>
        <w:t xml:space="preserve"> spočívá v jeho roztříštěnosti. </w:t>
      </w:r>
      <w:r w:rsidR="0075637D" w:rsidRPr="0075637D">
        <w:rPr>
          <w:rFonts w:ascii="Times New Roman" w:hAnsi="Times New Roman"/>
          <w:bCs/>
          <w:color w:val="0E2034"/>
          <w:sz w:val="24"/>
          <w:szCs w:val="24"/>
        </w:rPr>
        <w:t>P</w:t>
      </w:r>
      <w:r w:rsidR="00582A0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o udělení </w:t>
      </w:r>
      <w:r w:rsidR="0075637D">
        <w:rPr>
          <w:rFonts w:ascii="Times New Roman" w:hAnsi="Times New Roman"/>
          <w:bCs/>
          <w:color w:val="0E2034"/>
          <w:sz w:val="24"/>
          <w:szCs w:val="24"/>
        </w:rPr>
        <w:t>se</w:t>
      </w:r>
      <w:r w:rsidR="0075637D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75637D">
        <w:rPr>
          <w:rFonts w:ascii="Times New Roman" w:hAnsi="Times New Roman"/>
          <w:bCs/>
          <w:color w:val="0E2034"/>
          <w:sz w:val="24"/>
          <w:szCs w:val="24"/>
        </w:rPr>
        <w:t xml:space="preserve">evropský patent 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v podstatě 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rozpadne na </w:t>
      </w:r>
      <w:r w:rsidR="00A74AD9">
        <w:rPr>
          <w:rFonts w:ascii="Times New Roman" w:hAnsi="Times New Roman"/>
          <w:bCs/>
          <w:color w:val="0E2034"/>
          <w:sz w:val="24"/>
          <w:szCs w:val="24"/>
        </w:rPr>
        <w:t>„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>svazek národních patentů“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 a 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řídí </w:t>
      </w:r>
      <w:r w:rsidR="0075637D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se </w:t>
      </w:r>
      <w:r w:rsidR="00043077" w:rsidRPr="006A4AC6">
        <w:rPr>
          <w:rFonts w:ascii="Times New Roman" w:hAnsi="Times New Roman"/>
          <w:bCs/>
          <w:color w:val="0E2034"/>
          <w:sz w:val="24"/>
          <w:szCs w:val="24"/>
        </w:rPr>
        <w:t>vnitrostátním právem toho členského státu, kde byl validován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>. S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>pory z evropských patentů týkající se jak porušování, tak neplatnosti</w:t>
      </w:r>
      <w:r w:rsidR="0075637D">
        <w:rPr>
          <w:rFonts w:ascii="Times New Roman" w:hAnsi="Times New Roman"/>
          <w:bCs/>
          <w:color w:val="0E2034"/>
          <w:sz w:val="24"/>
          <w:szCs w:val="24"/>
        </w:rPr>
        <w:t>,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řeší </w:t>
      </w:r>
      <w:r w:rsidR="0075637D">
        <w:rPr>
          <w:rFonts w:ascii="Times New Roman" w:hAnsi="Times New Roman"/>
          <w:bCs/>
          <w:color w:val="0E2034"/>
          <w:sz w:val="24"/>
          <w:szCs w:val="24"/>
        </w:rPr>
        <w:t xml:space="preserve">jednotlivé 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>vnitrostátní soudy samostatně. Důsledkem tohoto stavu je, že vlastník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evropského patentu platného ve více členských státech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se musí v případě porušování 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domáhat soudní ochrany 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v každém 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>tomto státě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zvlášť, čímž 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mu 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vznikají 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obrovské 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>náklady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, 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zároveň je zde riziko 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>nejednotného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roz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>h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>od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>ování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jednotlivých vnitrostátních soudů ohledně stejných paralelních patentových práv</w:t>
      </w:r>
      <w:r w:rsidR="00F71EE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(některý s</w:t>
      </w:r>
      <w:r w:rsidR="003A1711" w:rsidRPr="006A4AC6">
        <w:rPr>
          <w:rFonts w:ascii="Times New Roman" w:hAnsi="Times New Roman"/>
          <w:bCs/>
          <w:color w:val="0E2034"/>
          <w:sz w:val="24"/>
          <w:szCs w:val="24"/>
        </w:rPr>
        <w:t>oud může konstatovat porušování</w:t>
      </w:r>
      <w:r w:rsidR="002A66DC" w:rsidRPr="006A4AC6">
        <w:rPr>
          <w:rFonts w:ascii="Times New Roman" w:hAnsi="Times New Roman"/>
          <w:bCs/>
          <w:color w:val="0E2034"/>
          <w:sz w:val="24"/>
          <w:szCs w:val="24"/>
        </w:rPr>
        <w:t>, popřípadě platnost patentu potvrdit</w:t>
      </w:r>
      <w:r w:rsidR="003A1711" w:rsidRPr="006A4AC6">
        <w:rPr>
          <w:rFonts w:ascii="Times New Roman" w:hAnsi="Times New Roman"/>
          <w:bCs/>
          <w:color w:val="0E2034"/>
          <w:sz w:val="24"/>
          <w:szCs w:val="24"/>
        </w:rPr>
        <w:t>, jiný soud může prohlásit patent ve sporu za neplatný)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>. Stejný problém se týká</w:t>
      </w:r>
      <w:r w:rsidR="003A1711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osob, které se brání monopolním právům</w:t>
      </w:r>
      <w:r w:rsidR="0075637D">
        <w:rPr>
          <w:rFonts w:ascii="Times New Roman" w:hAnsi="Times New Roman"/>
          <w:bCs/>
          <w:color w:val="0E2034"/>
          <w:sz w:val="24"/>
          <w:szCs w:val="24"/>
        </w:rPr>
        <w:t>,</w:t>
      </w:r>
      <w:r w:rsidR="003A1711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v případě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3A1711" w:rsidRPr="006A4AC6">
        <w:rPr>
          <w:rFonts w:ascii="Times New Roman" w:hAnsi="Times New Roman"/>
          <w:bCs/>
          <w:color w:val="0E2034"/>
          <w:sz w:val="24"/>
          <w:szCs w:val="24"/>
        </w:rPr>
        <w:t>návrhů a protinávrhů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na neplatnost patentu, kdy podnikatel nebo jiná osoba musí žalovat na neplatnost </w:t>
      </w:r>
      <w:r w:rsidR="0001650E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evropského 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patentu v každém </w:t>
      </w:r>
      <w:r w:rsidR="0001650E" w:rsidRPr="006A4AC6">
        <w:rPr>
          <w:rFonts w:ascii="Times New Roman" w:hAnsi="Times New Roman"/>
          <w:bCs/>
          <w:color w:val="0E2034"/>
          <w:sz w:val="24"/>
          <w:szCs w:val="24"/>
        </w:rPr>
        <w:t>členském státě zvlášť.</w:t>
      </w:r>
      <w:r w:rsidR="004444E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</w:p>
    <w:p w:rsidR="00043077" w:rsidRPr="006A4AC6" w:rsidRDefault="00043077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</w:p>
    <w:p w:rsidR="00FB1E56" w:rsidRPr="006A4AC6" w:rsidRDefault="00FB1E56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</w:p>
    <w:p w:rsidR="0099534C" w:rsidRDefault="0099534C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Nejednotná a nákladná patentová ochrana v EU pak 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znevýhodňuje domácí podnikatele 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oproti podnikatelům, např. z USA nebo Asie, které mají mnohem snazší a méně nákladný přístup na své domovské a regionální trhy dříve, než se svými inovacemi vstoupí na globální trh.  </w:t>
      </w:r>
    </w:p>
    <w:p w:rsidR="00AE1C06" w:rsidRPr="006A4AC6" w:rsidRDefault="00AE1C06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AE1C06" w:rsidRDefault="0075637D" w:rsidP="00AE1C06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>
        <w:rPr>
          <w:rFonts w:ascii="Times New Roman" w:hAnsi="Times New Roman"/>
          <w:b/>
          <w:bCs/>
          <w:color w:val="0E2034"/>
          <w:sz w:val="24"/>
          <w:szCs w:val="24"/>
        </w:rPr>
        <w:t>Nový j</w:t>
      </w:r>
      <w:r w:rsidR="00AE1C06" w:rsidRPr="00AE1C06">
        <w:rPr>
          <w:rFonts w:ascii="Times New Roman" w:hAnsi="Times New Roman"/>
          <w:b/>
          <w:bCs/>
          <w:color w:val="0E2034"/>
          <w:sz w:val="24"/>
          <w:szCs w:val="24"/>
        </w:rPr>
        <w:t xml:space="preserve">ednotný patent </w:t>
      </w:r>
      <w:r w:rsidR="00480885">
        <w:rPr>
          <w:rFonts w:ascii="Times New Roman" w:hAnsi="Times New Roman"/>
          <w:bCs/>
          <w:color w:val="0E2034"/>
          <w:sz w:val="24"/>
          <w:szCs w:val="24"/>
        </w:rPr>
        <w:t>by měl být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uděl</w:t>
      </w:r>
      <w:r>
        <w:rPr>
          <w:rFonts w:ascii="Times New Roman" w:hAnsi="Times New Roman"/>
          <w:bCs/>
          <w:color w:val="0E2034"/>
          <w:sz w:val="24"/>
          <w:szCs w:val="24"/>
        </w:rPr>
        <w:t>ován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AE1C06" w:rsidRPr="00345FFF">
        <w:rPr>
          <w:rFonts w:ascii="Times New Roman" w:hAnsi="Times New Roman"/>
          <w:b/>
          <w:bCs/>
          <w:color w:val="0E2034"/>
          <w:sz w:val="24"/>
          <w:szCs w:val="24"/>
        </w:rPr>
        <w:t>pro celé území zúčastněných členských států</w:t>
      </w:r>
      <w:r w:rsidR="00DE7995" w:rsidRPr="00345FFF">
        <w:rPr>
          <w:rFonts w:ascii="Times New Roman" w:hAnsi="Times New Roman"/>
          <w:b/>
          <w:bCs/>
          <w:color w:val="0E2034"/>
          <w:sz w:val="24"/>
          <w:szCs w:val="24"/>
        </w:rPr>
        <w:t xml:space="preserve"> EU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(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 xml:space="preserve">tj. </w:t>
      </w:r>
      <w:r w:rsidR="00480885">
        <w:rPr>
          <w:rFonts w:ascii="Times New Roman" w:hAnsi="Times New Roman"/>
          <w:bCs/>
          <w:color w:val="0E2034"/>
          <w:sz w:val="24"/>
          <w:szCs w:val="24"/>
        </w:rPr>
        <w:t xml:space="preserve">těch 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>člensk</w:t>
      </w:r>
      <w:r w:rsidR="00480885">
        <w:rPr>
          <w:rFonts w:ascii="Times New Roman" w:hAnsi="Times New Roman"/>
          <w:bCs/>
          <w:color w:val="0E2034"/>
          <w:sz w:val="24"/>
          <w:szCs w:val="24"/>
        </w:rPr>
        <w:t>ý</w:t>
      </w:r>
      <w:r w:rsidR="00F258E6">
        <w:rPr>
          <w:rFonts w:ascii="Times New Roman" w:hAnsi="Times New Roman"/>
          <w:bCs/>
          <w:color w:val="0E2034"/>
          <w:sz w:val="24"/>
          <w:szCs w:val="24"/>
        </w:rPr>
        <w:t>ch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stát</w:t>
      </w:r>
      <w:r w:rsidR="00480885">
        <w:rPr>
          <w:rFonts w:ascii="Times New Roman" w:hAnsi="Times New Roman"/>
          <w:bCs/>
          <w:color w:val="0E2034"/>
          <w:sz w:val="24"/>
          <w:szCs w:val="24"/>
        </w:rPr>
        <w:t>ů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, které zároveň ratifikují 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>D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>ohodu o Jednotném patentovém soudu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DE7995">
        <w:rPr>
          <w:rFonts w:ascii="Times New Roman" w:hAnsi="Times New Roman"/>
          <w:bCs/>
          <w:color w:val="0E2034"/>
          <w:sz w:val="24"/>
          <w:szCs w:val="24"/>
        </w:rPr>
        <w:t>–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DE7995">
        <w:rPr>
          <w:rFonts w:ascii="Times New Roman" w:hAnsi="Times New Roman"/>
          <w:bCs/>
          <w:color w:val="0E2034"/>
          <w:sz w:val="24"/>
          <w:szCs w:val="24"/>
        </w:rPr>
        <w:t xml:space="preserve">přičemž ke vstupu dohody v platnost je třeba ratifikace 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>minimálně 13 členský</w:t>
      </w:r>
      <w:r w:rsidR="00DE7995">
        <w:rPr>
          <w:rFonts w:ascii="Times New Roman" w:hAnsi="Times New Roman"/>
          <w:bCs/>
          <w:color w:val="0E2034"/>
          <w:sz w:val="24"/>
          <w:szCs w:val="24"/>
        </w:rPr>
        <w:t>mi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stát</w:t>
      </w:r>
      <w:r w:rsidR="00DE7995">
        <w:rPr>
          <w:rFonts w:ascii="Times New Roman" w:hAnsi="Times New Roman"/>
          <w:bCs/>
          <w:color w:val="0E2034"/>
          <w:sz w:val="24"/>
          <w:szCs w:val="24"/>
        </w:rPr>
        <w:t>y</w:t>
      </w:r>
      <w:r w:rsidR="00AE1C06" w:rsidRPr="006A4AC6">
        <w:rPr>
          <w:rFonts w:ascii="Times New Roman" w:hAnsi="Times New Roman"/>
          <w:bCs/>
          <w:color w:val="0E2034"/>
          <w:sz w:val="24"/>
          <w:szCs w:val="24"/>
        </w:rPr>
        <w:t>)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 xml:space="preserve"> a </w:t>
      </w:r>
      <w:r w:rsidR="00AE1C06" w:rsidRPr="00AE1C06">
        <w:rPr>
          <w:rFonts w:ascii="Times New Roman" w:hAnsi="Times New Roman"/>
          <w:b/>
          <w:bCs/>
          <w:color w:val="0E2034"/>
          <w:sz w:val="24"/>
          <w:szCs w:val="24"/>
        </w:rPr>
        <w:t>jeho účinky budou stejné na celém takto vytvořeném trhu.</w:t>
      </w:r>
      <w:r w:rsidR="00AE1C06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</w:p>
    <w:p w:rsidR="00AE1C06" w:rsidRPr="006A4AC6" w:rsidRDefault="00AE1C06" w:rsidP="00AE1C06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A45886" w:rsidRDefault="00DE7995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>
        <w:rPr>
          <w:rFonts w:ascii="Times New Roman" w:hAnsi="Times New Roman"/>
          <w:bCs/>
          <w:color w:val="0E2034"/>
          <w:sz w:val="24"/>
          <w:szCs w:val="24"/>
        </w:rPr>
        <w:t xml:space="preserve">Vedle </w:t>
      </w:r>
      <w:r w:rsidRPr="00DE7995">
        <w:rPr>
          <w:rFonts w:ascii="Times New Roman" w:hAnsi="Times New Roman"/>
          <w:b/>
          <w:bCs/>
          <w:color w:val="0E2034"/>
          <w:sz w:val="24"/>
          <w:szCs w:val="24"/>
        </w:rPr>
        <w:t>jednotné ochrany na podstatné části trhu EU,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 by měl patent s jednotným účinkem </w:t>
      </w:r>
      <w:r w:rsidR="00345FFF">
        <w:rPr>
          <w:rFonts w:ascii="Times New Roman" w:hAnsi="Times New Roman"/>
          <w:bCs/>
          <w:color w:val="0E2034"/>
          <w:sz w:val="24"/>
          <w:szCs w:val="24"/>
        </w:rPr>
        <w:t xml:space="preserve">dále 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přinést jednotlivcům </w:t>
      </w:r>
      <w:r w:rsidRPr="00DE7995">
        <w:rPr>
          <w:rFonts w:ascii="Times New Roman" w:hAnsi="Times New Roman"/>
          <w:b/>
          <w:bCs/>
          <w:color w:val="0E2034"/>
          <w:sz w:val="24"/>
          <w:szCs w:val="24"/>
        </w:rPr>
        <w:t>významné úspory</w:t>
      </w:r>
      <w:r>
        <w:rPr>
          <w:rFonts w:ascii="Times New Roman" w:hAnsi="Times New Roman"/>
          <w:bCs/>
          <w:color w:val="0E2034"/>
          <w:sz w:val="24"/>
          <w:szCs w:val="24"/>
        </w:rPr>
        <w:t>.</w:t>
      </w:r>
    </w:p>
    <w:p w:rsidR="00345FFF" w:rsidRPr="006A4AC6" w:rsidRDefault="00345FFF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99534C" w:rsidRPr="006A4AC6" w:rsidRDefault="00DE7995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  <w:r>
        <w:rPr>
          <w:rFonts w:ascii="Times New Roman" w:hAnsi="Times New Roman"/>
          <w:bCs/>
          <w:color w:val="0E2034"/>
          <w:sz w:val="24"/>
          <w:szCs w:val="24"/>
        </w:rPr>
        <w:t xml:space="preserve">Jedná se o 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</w:rPr>
        <w:t>sníž</w:t>
      </w:r>
      <w:r w:rsidR="00A45886" w:rsidRPr="006A4AC6">
        <w:rPr>
          <w:rFonts w:ascii="Times New Roman" w:hAnsi="Times New Roman"/>
          <w:b/>
          <w:bCs/>
          <w:color w:val="0E2034"/>
          <w:sz w:val="24"/>
          <w:szCs w:val="24"/>
        </w:rPr>
        <w:t>ení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 administrativní</w:t>
      </w:r>
      <w:r w:rsidR="00A45886" w:rsidRPr="006A4AC6">
        <w:rPr>
          <w:rFonts w:ascii="Times New Roman" w:hAnsi="Times New Roman"/>
          <w:b/>
          <w:bCs/>
          <w:color w:val="0E2034"/>
          <w:sz w:val="24"/>
          <w:szCs w:val="24"/>
        </w:rPr>
        <w:t>ch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 náklad</w:t>
      </w:r>
      <w:r w:rsidR="00AE1C06">
        <w:rPr>
          <w:rFonts w:ascii="Times New Roman" w:hAnsi="Times New Roman"/>
          <w:b/>
          <w:bCs/>
          <w:color w:val="0E2034"/>
          <w:sz w:val="24"/>
          <w:szCs w:val="24"/>
        </w:rPr>
        <w:t>ů</w:t>
      </w:r>
      <w:r w:rsidR="00345FFF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  <w:r w:rsidR="00345FFF">
        <w:rPr>
          <w:rFonts w:ascii="Times New Roman" w:hAnsi="Times New Roman"/>
          <w:bCs/>
          <w:color w:val="0E2034"/>
          <w:sz w:val="24"/>
          <w:szCs w:val="24"/>
        </w:rPr>
        <w:t>v období po udělení patentu</w:t>
      </w:r>
      <w:r w:rsidR="00345FFF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  <w:r w:rsidRPr="00DE7995">
        <w:rPr>
          <w:rFonts w:ascii="Times New Roman" w:hAnsi="Times New Roman"/>
          <w:bCs/>
          <w:color w:val="0E2034"/>
          <w:sz w:val="24"/>
          <w:szCs w:val="24"/>
        </w:rPr>
        <w:t xml:space="preserve">díky </w:t>
      </w:r>
      <w:r>
        <w:rPr>
          <w:rFonts w:ascii="Times New Roman" w:hAnsi="Times New Roman"/>
          <w:bCs/>
          <w:color w:val="0E2034"/>
          <w:sz w:val="24"/>
          <w:szCs w:val="24"/>
        </w:rPr>
        <w:t>j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>ednotné správě před EPO</w:t>
      </w:r>
      <w:r w:rsidR="00345FFF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345FFF" w:rsidRPr="00345FFF">
        <w:rPr>
          <w:rFonts w:ascii="Times New Roman" w:hAnsi="Times New Roman"/>
          <w:bCs/>
          <w:color w:val="0E2034"/>
          <w:sz w:val="24"/>
          <w:szCs w:val="24"/>
        </w:rPr>
        <w:t>(Evropský patentový úřad)</w:t>
      </w:r>
      <w:r w:rsidR="00345FFF">
        <w:rPr>
          <w:rFonts w:ascii="Times New Roman" w:hAnsi="Times New Roman"/>
          <w:bCs/>
          <w:color w:val="0E2034"/>
          <w:sz w:val="24"/>
          <w:szCs w:val="24"/>
        </w:rPr>
        <w:t>. Z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ejména </w:t>
      </w:r>
      <w:r w:rsidR="00A4588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snížení </w:t>
      </w:r>
      <w:r w:rsidR="0099534C" w:rsidRPr="00345FFF">
        <w:rPr>
          <w:rFonts w:ascii="Times New Roman" w:hAnsi="Times New Roman"/>
          <w:bCs/>
          <w:color w:val="0E2034"/>
          <w:sz w:val="24"/>
          <w:szCs w:val="24"/>
        </w:rPr>
        <w:t>náklad</w:t>
      </w:r>
      <w:r w:rsidR="00A45886" w:rsidRPr="00345FFF">
        <w:rPr>
          <w:rFonts w:ascii="Times New Roman" w:hAnsi="Times New Roman"/>
          <w:bCs/>
          <w:color w:val="0E2034"/>
          <w:sz w:val="24"/>
          <w:szCs w:val="24"/>
        </w:rPr>
        <w:t>ů</w:t>
      </w:r>
      <w:r w:rsidR="0099534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345FFF">
        <w:rPr>
          <w:rFonts w:ascii="Times New Roman" w:hAnsi="Times New Roman"/>
          <w:b/>
          <w:bCs/>
          <w:color w:val="0E2034"/>
          <w:sz w:val="24"/>
          <w:szCs w:val="24"/>
        </w:rPr>
        <w:t xml:space="preserve">spojených s validací </w:t>
      </w:r>
      <w:r w:rsidR="00345FFF" w:rsidRPr="00345FFF">
        <w:rPr>
          <w:rFonts w:ascii="Times New Roman" w:hAnsi="Times New Roman"/>
          <w:bCs/>
          <w:color w:val="0E2034"/>
          <w:sz w:val="24"/>
          <w:szCs w:val="24"/>
        </w:rPr>
        <w:t xml:space="preserve">patentů v jednotlivých členských státech, jako jsou náklady </w:t>
      </w:r>
      <w:r w:rsidR="0099534C" w:rsidRPr="00345FFF">
        <w:rPr>
          <w:rFonts w:ascii="Times New Roman" w:hAnsi="Times New Roman"/>
          <w:bCs/>
          <w:color w:val="0E2034"/>
          <w:sz w:val="24"/>
          <w:szCs w:val="24"/>
        </w:rPr>
        <w:t xml:space="preserve">na 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</w:rPr>
        <w:t>překlady a zastoupení</w:t>
      </w:r>
      <w:r w:rsidR="0099534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</w:rPr>
        <w:t>v jednotlivých členských státech</w:t>
      </w:r>
      <w:r w:rsidR="0099534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patentovými zástupci nebo </w:t>
      </w:r>
      <w:r w:rsidR="00345FFF">
        <w:rPr>
          <w:rFonts w:ascii="Times New Roman" w:hAnsi="Times New Roman"/>
          <w:bCs/>
          <w:color w:val="0E2034"/>
          <w:sz w:val="24"/>
          <w:szCs w:val="24"/>
        </w:rPr>
        <w:t xml:space="preserve">jinými </w:t>
      </w:r>
      <w:r w:rsidR="0099534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specializovanými poskytovateli 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patentových </w:t>
      </w:r>
      <w:r w:rsidR="0099534C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služeb, a to u průměrného patentu platného ve 4 členských státech cca 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o 50%. </w:t>
      </w:r>
    </w:p>
    <w:p w:rsidR="00951855" w:rsidRPr="006A4AC6" w:rsidRDefault="00951855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</w:p>
    <w:p w:rsidR="00DE7995" w:rsidRDefault="00A45886" w:rsidP="00AD639A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  <w:r w:rsidRPr="00304D42">
        <w:rPr>
          <w:rFonts w:ascii="Times New Roman" w:hAnsi="Times New Roman"/>
          <w:bCs/>
          <w:color w:val="0E2034"/>
          <w:sz w:val="24"/>
          <w:szCs w:val="24"/>
        </w:rPr>
        <w:t xml:space="preserve">Dále by měl </w:t>
      </w:r>
      <w:r w:rsidR="00DE7995">
        <w:rPr>
          <w:rFonts w:ascii="Times New Roman" w:hAnsi="Times New Roman"/>
          <w:bCs/>
          <w:color w:val="0E2034"/>
          <w:sz w:val="24"/>
          <w:szCs w:val="24"/>
        </w:rPr>
        <w:t xml:space="preserve">jednotný patent </w:t>
      </w:r>
      <w:r w:rsidRPr="00304D42">
        <w:rPr>
          <w:rFonts w:ascii="Times New Roman" w:hAnsi="Times New Roman"/>
          <w:bCs/>
          <w:color w:val="0E2034"/>
          <w:sz w:val="24"/>
          <w:szCs w:val="24"/>
        </w:rPr>
        <w:t xml:space="preserve">oproti klasickému evropskému patentu přinést 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>úspory v podobě nižších udržovacích poplatků</w:t>
      </w:r>
      <w:r w:rsidR="00F258E6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  <w:r w:rsidR="00F258E6" w:rsidRPr="00F258E6">
        <w:rPr>
          <w:rFonts w:ascii="Times New Roman" w:hAnsi="Times New Roman"/>
          <w:bCs/>
          <w:color w:val="0E2034"/>
          <w:sz w:val="24"/>
          <w:szCs w:val="24"/>
        </w:rPr>
        <w:t>(</w:t>
      </w:r>
      <w:r w:rsidRPr="00F258E6">
        <w:rPr>
          <w:rFonts w:ascii="Times New Roman" w:hAnsi="Times New Roman"/>
          <w:bCs/>
          <w:color w:val="0E2034"/>
          <w:sz w:val="24"/>
          <w:szCs w:val="24"/>
        </w:rPr>
        <w:t xml:space="preserve">pokud bude mít majitel zájem o uplatnění </w:t>
      </w:r>
      <w:r w:rsidR="0075637D" w:rsidRPr="00F258E6">
        <w:rPr>
          <w:rFonts w:ascii="Times New Roman" w:hAnsi="Times New Roman"/>
          <w:bCs/>
          <w:color w:val="0E2034"/>
          <w:sz w:val="24"/>
          <w:szCs w:val="24"/>
        </w:rPr>
        <w:t xml:space="preserve">chráněného </w:t>
      </w:r>
      <w:r w:rsidRPr="00F258E6">
        <w:rPr>
          <w:rFonts w:ascii="Times New Roman" w:hAnsi="Times New Roman"/>
          <w:bCs/>
          <w:color w:val="0E2034"/>
          <w:sz w:val="24"/>
          <w:szCs w:val="24"/>
        </w:rPr>
        <w:t xml:space="preserve">vynálezu ve více než </w:t>
      </w:r>
      <w:r w:rsidR="006A4AC6" w:rsidRPr="00F258E6">
        <w:rPr>
          <w:rFonts w:ascii="Times New Roman" w:hAnsi="Times New Roman"/>
          <w:bCs/>
          <w:color w:val="0E2034"/>
          <w:sz w:val="24"/>
          <w:szCs w:val="24"/>
        </w:rPr>
        <w:t>4 členských státech EU</w:t>
      </w:r>
      <w:r w:rsidR="00F258E6" w:rsidRPr="00F258E6">
        <w:rPr>
          <w:rFonts w:ascii="Times New Roman" w:hAnsi="Times New Roman"/>
          <w:bCs/>
          <w:color w:val="0E2034"/>
          <w:sz w:val="24"/>
          <w:szCs w:val="24"/>
        </w:rPr>
        <w:t>)</w:t>
      </w:r>
      <w:r w:rsidR="006A4AC6" w:rsidRPr="00F258E6">
        <w:rPr>
          <w:rFonts w:ascii="Times New Roman" w:hAnsi="Times New Roman"/>
          <w:bCs/>
          <w:color w:val="0E2034"/>
          <w:sz w:val="24"/>
          <w:szCs w:val="24"/>
        </w:rPr>
        <w:t>.</w:t>
      </w:r>
      <w:r w:rsidR="00AE1C06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</w:p>
    <w:p w:rsidR="00DE7995" w:rsidRDefault="00DE7995" w:rsidP="00AD639A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</w:p>
    <w:p w:rsidR="00F258E6" w:rsidRDefault="00345FFF" w:rsidP="00AE1C06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>
        <w:rPr>
          <w:rFonts w:ascii="Times New Roman" w:hAnsi="Times New Roman"/>
          <w:bCs/>
          <w:color w:val="0E2034"/>
          <w:sz w:val="24"/>
          <w:szCs w:val="24"/>
        </w:rPr>
        <w:t>Č</w:t>
      </w:r>
      <w:r w:rsidRPr="00345FFF">
        <w:rPr>
          <w:rFonts w:ascii="Times New Roman" w:hAnsi="Times New Roman"/>
          <w:bCs/>
          <w:color w:val="0E2034"/>
          <w:sz w:val="24"/>
          <w:szCs w:val="24"/>
        </w:rPr>
        <w:t>lenské státy EU dne 24. června 2015 v rámci Užšího výboru Správní rady EPO předběžným rozhodnutím podpořily návrh na stanovení udržovacích poplatků za patent s jednotným účinkem ve výši “</w:t>
      </w:r>
      <w:r w:rsidRPr="00345FFF">
        <w:rPr>
          <w:rFonts w:ascii="Times New Roman" w:hAnsi="Times New Roman"/>
          <w:b/>
          <w:bCs/>
          <w:color w:val="0E2034"/>
          <w:sz w:val="24"/>
          <w:szCs w:val="24"/>
        </w:rPr>
        <w:t>True TOP 4</w:t>
      </w:r>
      <w:r w:rsidRPr="00345FFF">
        <w:rPr>
          <w:rFonts w:ascii="Times New Roman" w:hAnsi="Times New Roman"/>
          <w:bCs/>
          <w:color w:val="0E2034"/>
          <w:sz w:val="24"/>
          <w:szCs w:val="24"/>
        </w:rPr>
        <w:t>”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E2034"/>
          <w:sz w:val="24"/>
          <w:szCs w:val="24"/>
        </w:rPr>
        <w:t>(viz tabulka níže)</w:t>
      </w:r>
      <w:r>
        <w:rPr>
          <w:rFonts w:ascii="Times New Roman" w:hAnsi="Times New Roman"/>
          <w:bCs/>
          <w:color w:val="0E2034"/>
          <w:sz w:val="24"/>
          <w:szCs w:val="24"/>
        </w:rPr>
        <w:t xml:space="preserve">, která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odpovídá sumě udržovacích poplatků 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ve 4 nejčastěji validovaných státech EU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(Německo, Francie, Velká Británie a Nizozemí)</w:t>
      </w:r>
      <w:r w:rsidR="00D47DC5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E2034"/>
          <w:sz w:val="24"/>
          <w:szCs w:val="24"/>
        </w:rPr>
        <w:t>Tato výše byla také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 podp</w:t>
      </w:r>
      <w:r>
        <w:rPr>
          <w:rFonts w:ascii="Times New Roman" w:hAnsi="Times New Roman"/>
          <w:b/>
          <w:bCs/>
          <w:color w:val="0E2034"/>
          <w:sz w:val="24"/>
          <w:szCs w:val="24"/>
        </w:rPr>
        <w:t>ořena organizací BUSINESSEUROPE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>.</w:t>
      </w:r>
    </w:p>
    <w:p w:rsidR="00D47DC5" w:rsidRPr="006A4AC6" w:rsidRDefault="00D47DC5" w:rsidP="00582A07">
      <w:pPr>
        <w:shd w:val="clear" w:color="auto" w:fill="FFFFFF"/>
        <w:overflowPunct/>
        <w:autoSpaceDE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</w:rPr>
      </w:pPr>
    </w:p>
    <w:p w:rsidR="00704642" w:rsidRPr="006A4AC6" w:rsidRDefault="00D47DC5" w:rsidP="00582A07">
      <w:pPr>
        <w:shd w:val="clear" w:color="auto" w:fill="FFFFFF"/>
        <w:overflowPunct/>
        <w:autoSpaceDE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>Pokud jde o úspory</w:t>
      </w:r>
      <w:r w:rsidR="00A74AD9">
        <w:rPr>
          <w:rFonts w:ascii="Times New Roman" w:hAnsi="Times New Roman"/>
          <w:b/>
          <w:bCs/>
          <w:color w:val="0E2034"/>
          <w:sz w:val="24"/>
          <w:szCs w:val="24"/>
        </w:rPr>
        <w:t xml:space="preserve"> z udržovacích poplatků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, </w:t>
      </w:r>
      <w:r w:rsidR="00A74AD9">
        <w:rPr>
          <w:rFonts w:ascii="Times New Roman" w:hAnsi="Times New Roman"/>
          <w:b/>
          <w:bCs/>
          <w:color w:val="0E2034"/>
          <w:sz w:val="24"/>
          <w:szCs w:val="24"/>
        </w:rPr>
        <w:t xml:space="preserve">lze zjednodušeně říci, že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čím více států se bude účastnit jednotného patentu, tím vyšší</w:t>
      </w:r>
      <w:r w:rsidR="00DE7995">
        <w:rPr>
          <w:rFonts w:ascii="Times New Roman" w:hAnsi="Times New Roman"/>
          <w:bCs/>
          <w:color w:val="0E2034"/>
          <w:sz w:val="24"/>
          <w:szCs w:val="24"/>
        </w:rPr>
        <w:t xml:space="preserve"> úspory</w:t>
      </w:r>
      <w:r w:rsidR="0075637D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budou, pro 25 ČS se </w:t>
      </w:r>
      <w:r w:rsidR="00704642" w:rsidRPr="00DE7995">
        <w:rPr>
          <w:rFonts w:ascii="Times New Roman" w:hAnsi="Times New Roman"/>
          <w:bCs/>
          <w:color w:val="0E2034"/>
          <w:sz w:val="24"/>
          <w:szCs w:val="24"/>
        </w:rPr>
        <w:t xml:space="preserve">udávají </w:t>
      </w:r>
      <w:r w:rsidR="00F258E6">
        <w:rPr>
          <w:rFonts w:ascii="Times New Roman" w:hAnsi="Times New Roman"/>
          <w:bCs/>
          <w:color w:val="0E2034"/>
          <w:sz w:val="24"/>
          <w:szCs w:val="24"/>
        </w:rPr>
        <w:t>ve výši až 78 </w:t>
      </w:r>
      <w:r w:rsidR="00704642" w:rsidRPr="00DE7995">
        <w:rPr>
          <w:rFonts w:ascii="Times New Roman" w:hAnsi="Times New Roman"/>
          <w:bCs/>
          <w:color w:val="0E2034"/>
          <w:sz w:val="24"/>
          <w:szCs w:val="24"/>
        </w:rPr>
        <w:t>%</w:t>
      </w:r>
      <w:r w:rsidR="00F258E6">
        <w:rPr>
          <w:rFonts w:ascii="Times New Roman" w:hAnsi="Times New Roman"/>
          <w:bCs/>
          <w:color w:val="0E2034"/>
          <w:sz w:val="24"/>
          <w:szCs w:val="24"/>
        </w:rPr>
        <w:t>. N</w:t>
      </w:r>
      <w:r w:rsidR="00F258E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icméně </w:t>
      </w:r>
      <w:r w:rsidR="00A45886" w:rsidRPr="006A4AC6">
        <w:rPr>
          <w:rFonts w:ascii="Times New Roman" w:hAnsi="Times New Roman"/>
          <w:bCs/>
          <w:color w:val="0E2034"/>
          <w:sz w:val="24"/>
          <w:szCs w:val="24"/>
        </w:rPr>
        <w:t>zpočátku fungování nového systému ne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>lze předpokládat</w:t>
      </w:r>
      <w:r w:rsidR="00F258E6">
        <w:rPr>
          <w:rFonts w:ascii="Times New Roman" w:hAnsi="Times New Roman"/>
          <w:bCs/>
          <w:color w:val="0E2034"/>
          <w:sz w:val="24"/>
          <w:szCs w:val="24"/>
        </w:rPr>
        <w:t xml:space="preserve"> takto široké pokrytí</w:t>
      </w:r>
      <w:r w:rsidR="00A655E7">
        <w:rPr>
          <w:rFonts w:ascii="Times New Roman" w:hAnsi="Times New Roman"/>
          <w:bCs/>
          <w:color w:val="0E2034"/>
          <w:sz w:val="24"/>
          <w:szCs w:val="24"/>
        </w:rPr>
        <w:t xml:space="preserve"> jednotným patentem. P</w:t>
      </w:r>
      <w:r w:rsidR="00A655E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ro </w:t>
      </w:r>
      <w:r w:rsidR="00A655E7">
        <w:rPr>
          <w:rFonts w:ascii="Times New Roman" w:hAnsi="Times New Roman"/>
          <w:bCs/>
          <w:color w:val="0E2034"/>
          <w:sz w:val="24"/>
          <w:szCs w:val="24"/>
        </w:rPr>
        <w:t xml:space="preserve">vstup Dohody o Jednotném patentovém soudu, a tím i obou nařízení o jednotném patentu </w:t>
      </w:r>
      <w:r w:rsidR="00345FFF">
        <w:rPr>
          <w:rFonts w:ascii="Times New Roman" w:hAnsi="Times New Roman"/>
          <w:bCs/>
          <w:color w:val="0E2034"/>
          <w:sz w:val="24"/>
          <w:szCs w:val="24"/>
        </w:rPr>
        <w:t>se vyžaduje</w:t>
      </w:r>
      <w:r w:rsidR="00A655E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A655E7">
        <w:rPr>
          <w:rFonts w:ascii="Times New Roman" w:hAnsi="Times New Roman"/>
          <w:bCs/>
          <w:color w:val="0E2034"/>
          <w:sz w:val="24"/>
          <w:szCs w:val="24"/>
        </w:rPr>
        <w:t xml:space="preserve">ratifikace </w:t>
      </w:r>
      <w:r w:rsidR="00A655E7" w:rsidRPr="006A4AC6">
        <w:rPr>
          <w:rFonts w:ascii="Times New Roman" w:hAnsi="Times New Roman"/>
          <w:bCs/>
          <w:color w:val="0E2034"/>
          <w:sz w:val="24"/>
          <w:szCs w:val="24"/>
        </w:rPr>
        <w:t>13</w:t>
      </w:r>
      <w:r w:rsidR="00A655E7">
        <w:rPr>
          <w:rFonts w:ascii="Times New Roman" w:hAnsi="Times New Roman"/>
          <w:bCs/>
          <w:color w:val="0E2034"/>
          <w:sz w:val="24"/>
          <w:szCs w:val="24"/>
        </w:rPr>
        <w:t>-ti</w:t>
      </w:r>
      <w:r w:rsidR="00A655E7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členský</w:t>
      </w:r>
      <w:r w:rsidR="00A655E7">
        <w:rPr>
          <w:rFonts w:ascii="Times New Roman" w:hAnsi="Times New Roman"/>
          <w:bCs/>
          <w:color w:val="0E2034"/>
          <w:sz w:val="24"/>
          <w:szCs w:val="24"/>
        </w:rPr>
        <w:t>mi státy, i tak by úspory byly významné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.</w:t>
      </w:r>
    </w:p>
    <w:p w:rsidR="00704642" w:rsidRPr="006A4AC6" w:rsidRDefault="00704642" w:rsidP="00582A07">
      <w:pPr>
        <w:shd w:val="clear" w:color="auto" w:fill="FFFFFF"/>
        <w:overflowPunct/>
        <w:autoSpaceDE/>
        <w:adjustRightInd/>
        <w:spacing w:after="79" w:line="276" w:lineRule="auto"/>
        <w:ind w:left="705"/>
        <w:jc w:val="both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704642" w:rsidRPr="006A4AC6" w:rsidRDefault="00927590" w:rsidP="00582A07">
      <w:pPr>
        <w:shd w:val="clear" w:color="auto" w:fill="FFFFFF"/>
        <w:overflowPunct/>
        <w:autoSpaceDE/>
        <w:adjustRightInd/>
        <w:spacing w:after="79" w:line="276" w:lineRule="auto"/>
        <w:jc w:val="both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>
        <w:rPr>
          <w:rFonts w:ascii="Times New Roman" w:hAnsi="Times New Roman"/>
          <w:b/>
          <w:bCs/>
          <w:color w:val="0E2034"/>
          <w:sz w:val="24"/>
          <w:szCs w:val="24"/>
        </w:rPr>
        <w:t>Pokud jde o předpokládané ce</w:t>
      </w:r>
      <w:r w:rsidR="00704642" w:rsidRPr="00AE1C06">
        <w:rPr>
          <w:rFonts w:ascii="Times New Roman" w:hAnsi="Times New Roman"/>
          <w:b/>
          <w:bCs/>
          <w:color w:val="0E2034"/>
          <w:sz w:val="24"/>
          <w:szCs w:val="24"/>
        </w:rPr>
        <w:t>lkové náklady na jednotný patent</w:t>
      </w:r>
      <w:r>
        <w:rPr>
          <w:rFonts w:ascii="Times New Roman" w:hAnsi="Times New Roman"/>
          <w:bCs/>
          <w:color w:val="0E2034"/>
          <w:sz w:val="24"/>
          <w:szCs w:val="24"/>
        </w:rPr>
        <w:t>,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lze je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odhad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ovat </w:t>
      </w:r>
      <w:r>
        <w:rPr>
          <w:rFonts w:ascii="Times New Roman" w:hAnsi="Times New Roman"/>
          <w:bCs/>
          <w:color w:val="0E2034"/>
          <w:sz w:val="24"/>
          <w:szCs w:val="24"/>
        </w:rPr>
        <w:t>na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cca </w:t>
      </w:r>
      <w:r w:rsidR="00C45C7E">
        <w:rPr>
          <w:rFonts w:ascii="Times New Roman" w:hAnsi="Times New Roman"/>
          <w:b/>
          <w:bCs/>
          <w:color w:val="0E2034"/>
          <w:sz w:val="24"/>
          <w:szCs w:val="24"/>
        </w:rPr>
        <w:t>9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 000 EUR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do 10 roku platnosti patentu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 (</w:t>
      </w:r>
      <w:r w:rsidR="00E9036B" w:rsidRPr="006A4AC6">
        <w:rPr>
          <w:rFonts w:ascii="Times New Roman" w:hAnsi="Times New Roman"/>
          <w:bCs/>
          <w:color w:val="0E2034"/>
          <w:sz w:val="24"/>
          <w:szCs w:val="24"/>
        </w:rPr>
        <w:t>včetně poplatků za řízení v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> </w:t>
      </w:r>
      <w:r w:rsidR="00E9036B" w:rsidRPr="006A4AC6">
        <w:rPr>
          <w:rFonts w:ascii="Times New Roman" w:hAnsi="Times New Roman"/>
          <w:bCs/>
          <w:color w:val="0E2034"/>
          <w:sz w:val="24"/>
          <w:szCs w:val="24"/>
        </w:rPr>
        <w:t>EPO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 cca 4600 EUR)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, což téměř odpovídá nákladům na současný evropský patent validovaný 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ve 4 členských státech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(nejsou zahrnuty náklady na zastoupení v řízení </w:t>
      </w:r>
      <w:r w:rsidR="007E28C4">
        <w:rPr>
          <w:rFonts w:ascii="Times New Roman" w:hAnsi="Times New Roman"/>
          <w:bCs/>
          <w:color w:val="0E2034"/>
          <w:sz w:val="24"/>
          <w:szCs w:val="24"/>
        </w:rPr>
        <w:t>před EPO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 patentovými zástupci ve výši</w:t>
      </w:r>
      <w:r w:rsidR="007E28C4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C45C7E">
        <w:rPr>
          <w:rFonts w:ascii="Times New Roman" w:hAnsi="Times New Roman"/>
          <w:bCs/>
          <w:color w:val="0E2034"/>
          <w:sz w:val="24"/>
          <w:szCs w:val="24"/>
        </w:rPr>
        <w:t>min.</w:t>
      </w:r>
      <w:r w:rsidR="007E28C4">
        <w:rPr>
          <w:rFonts w:ascii="Times New Roman" w:hAnsi="Times New Roman"/>
          <w:bCs/>
          <w:color w:val="0E2034"/>
          <w:sz w:val="24"/>
          <w:szCs w:val="24"/>
        </w:rPr>
        <w:t xml:space="preserve"> 10 000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EUR)</w:t>
      </w:r>
      <w:r w:rsidR="00C45C7E">
        <w:rPr>
          <w:rFonts w:ascii="Times New Roman" w:hAnsi="Times New Roman"/>
          <w:bCs/>
          <w:color w:val="0E2034"/>
          <w:sz w:val="24"/>
          <w:szCs w:val="24"/>
        </w:rPr>
        <w:t>.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 </w:t>
      </w:r>
    </w:p>
    <w:p w:rsidR="00704642" w:rsidRPr="006A4AC6" w:rsidRDefault="00704642" w:rsidP="00582A07">
      <w:pPr>
        <w:shd w:val="clear" w:color="auto" w:fill="FFFFFF"/>
        <w:overflowPunct/>
        <w:autoSpaceDE/>
        <w:adjustRightInd/>
        <w:spacing w:after="79" w:line="276" w:lineRule="auto"/>
        <w:ind w:left="705"/>
        <w:jc w:val="both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704642" w:rsidRPr="006A4AC6" w:rsidRDefault="00A45886" w:rsidP="00582A07">
      <w:pPr>
        <w:shd w:val="clear" w:color="auto" w:fill="FFFFFF"/>
        <w:overflowPunct/>
        <w:autoSpaceDE/>
        <w:adjustRightInd/>
        <w:spacing w:after="79" w:line="276" w:lineRule="auto"/>
        <w:jc w:val="both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>Pro srovnání u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evropského patentu validovaného v 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6 členských státech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se udává celková výše nákladů do 10 roku platnosti patenu až 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22 000 EUR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(bez nákladů na zastou</w:t>
      </w:r>
      <w:r w:rsidR="007E28C4">
        <w:rPr>
          <w:rFonts w:ascii="Times New Roman" w:hAnsi="Times New Roman"/>
          <w:bCs/>
          <w:color w:val="0E2034"/>
          <w:sz w:val="24"/>
          <w:szCs w:val="24"/>
        </w:rPr>
        <w:t>pení v řízení před EPO - cca 10 000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Eur.)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</w:rPr>
        <w:t>.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Značně narůstají náklady na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 validaci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E9036B">
        <w:rPr>
          <w:rFonts w:ascii="Times New Roman" w:hAnsi="Times New Roman"/>
          <w:bCs/>
          <w:color w:val="0E2034"/>
          <w:sz w:val="24"/>
          <w:szCs w:val="24"/>
        </w:rPr>
        <w:t xml:space="preserve">- 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>překlad</w:t>
      </w:r>
      <w:r w:rsidR="007E28C4">
        <w:rPr>
          <w:rFonts w:ascii="Times New Roman" w:hAnsi="Times New Roman"/>
          <w:bCs/>
          <w:color w:val="0E2034"/>
          <w:sz w:val="24"/>
          <w:szCs w:val="24"/>
        </w:rPr>
        <w:t>y a zastoupení v jednotlivých členských státech</w:t>
      </w:r>
      <w:r w:rsidR="00704642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a národní udržovací poplatky – činí cca 17 000 EUR).</w:t>
      </w:r>
      <w:r w:rsidR="00582294">
        <w:rPr>
          <w:rStyle w:val="Znakapoznpodarou"/>
          <w:rFonts w:ascii="Times New Roman" w:hAnsi="Times New Roman"/>
          <w:bCs/>
          <w:color w:val="0E2034"/>
          <w:sz w:val="24"/>
          <w:szCs w:val="24"/>
        </w:rPr>
        <w:footnoteReference w:id="1"/>
      </w:r>
    </w:p>
    <w:p w:rsidR="0099534C" w:rsidRPr="006A4AC6" w:rsidRDefault="0099534C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99534C" w:rsidRPr="006A4AC6" w:rsidRDefault="0099534C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Rozhodnutí užšího výboru o výši udržovacích poplatků je 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>předběžné,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 xml:space="preserve">s konečnou platností by mělo být rozhodnuto o celém balíčku společně s distribučním klíčem 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pro rozdělení výnosů z udržovacích poplatků mezi jednotlivé členské státy 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</w:rPr>
        <w:t>na podzim tohoto roku.</w:t>
      </w:r>
    </w:p>
    <w:p w:rsidR="0099534C" w:rsidRPr="006A4AC6" w:rsidRDefault="0099534C" w:rsidP="00582A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65B0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  <w:u w:val="single"/>
        </w:rPr>
      </w:pPr>
    </w:p>
    <w:p w:rsidR="00A74AD9" w:rsidRDefault="00A74AD9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  <w:u w:val="single"/>
        </w:rPr>
      </w:pPr>
    </w:p>
    <w:p w:rsidR="00A74AD9" w:rsidRDefault="00A74AD9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  <w:u w:val="single"/>
        </w:rPr>
      </w:pPr>
    </w:p>
    <w:p w:rsidR="0099534C" w:rsidRPr="006A4AC6" w:rsidRDefault="00A36C3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  <w:u w:val="single"/>
        </w:rPr>
      </w:pPr>
      <w:r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lastRenderedPageBreak/>
        <w:t xml:space="preserve">S ohledem na blížící se termín konečného rozhodování se 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na Vás obracíme s žádostí o 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stanovisko k 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navrhované 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výš</w:t>
      </w:r>
      <w:r w:rsidR="00704642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i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 udržovacích poplatků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 a </w:t>
      </w:r>
      <w:r w:rsidR="004665B0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uvedení </w:t>
      </w:r>
      <w:r w:rsidR="00582294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očekávaných</w:t>
      </w:r>
      <w:r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 přínosů jednotného patentu</w:t>
      </w:r>
      <w:r w:rsidR="004665B0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 xml:space="preserve"> pro podnikatele</w:t>
      </w:r>
      <w:r w:rsidR="0099534C" w:rsidRPr="006A4AC6">
        <w:rPr>
          <w:rFonts w:ascii="Times New Roman" w:hAnsi="Times New Roman"/>
          <w:b/>
          <w:bCs/>
          <w:color w:val="0E2034"/>
          <w:sz w:val="24"/>
          <w:szCs w:val="24"/>
          <w:u w:val="single"/>
        </w:rPr>
        <w:t>:</w:t>
      </w:r>
    </w:p>
    <w:p w:rsidR="004665B0" w:rsidRPr="006A4AC6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/>
          <w:bCs/>
          <w:color w:val="0E2034"/>
          <w:sz w:val="24"/>
          <w:szCs w:val="24"/>
          <w:u w:val="single"/>
        </w:rPr>
      </w:pPr>
    </w:p>
    <w:p w:rsidR="0026750E" w:rsidRPr="006A4AC6" w:rsidRDefault="0099534C" w:rsidP="00582A07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>Uveďte</w:t>
      </w:r>
      <w:r w:rsidR="00514C34" w:rsidRPr="006A4AC6">
        <w:rPr>
          <w:rFonts w:ascii="Times New Roman" w:hAnsi="Times New Roman"/>
          <w:bCs/>
          <w:color w:val="0E2034"/>
          <w:sz w:val="24"/>
          <w:szCs w:val="24"/>
        </w:rPr>
        <w:t>,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prosím, </w:t>
      </w:r>
      <w:r w:rsidR="006A4AC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jaké je Vaše stanovisko 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>k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navrhovan</w:t>
      </w:r>
      <w:r w:rsidR="00AE1C06">
        <w:rPr>
          <w:rFonts w:ascii="Times New Roman" w:hAnsi="Times New Roman"/>
          <w:bCs/>
          <w:color w:val="0E2034"/>
          <w:sz w:val="24"/>
          <w:szCs w:val="24"/>
        </w:rPr>
        <w:t>é výši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udržovacích poplatků </w:t>
      </w:r>
      <w:r w:rsidR="004665B0" w:rsidRPr="006A4AC6">
        <w:rPr>
          <w:rFonts w:ascii="Times New Roman" w:hAnsi="Times New Roman"/>
          <w:bCs/>
          <w:color w:val="0E2034"/>
          <w:sz w:val="24"/>
          <w:szCs w:val="24"/>
        </w:rPr>
        <w:t>“</w:t>
      </w:r>
      <w:r w:rsidR="004665B0" w:rsidRPr="006A4AC6">
        <w:rPr>
          <w:rFonts w:ascii="Times New Roman" w:hAnsi="Times New Roman"/>
          <w:b/>
          <w:bCs/>
          <w:color w:val="0E2034"/>
          <w:sz w:val="24"/>
          <w:szCs w:val="24"/>
        </w:rPr>
        <w:t>True TOP 4</w:t>
      </w:r>
      <w:r w:rsidR="004665B0" w:rsidRPr="006A4AC6">
        <w:rPr>
          <w:rFonts w:ascii="Times New Roman" w:hAnsi="Times New Roman"/>
          <w:bCs/>
          <w:color w:val="0E2034"/>
          <w:sz w:val="24"/>
          <w:szCs w:val="24"/>
        </w:rPr>
        <w:t>”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za patent s jednotným účinkem, případně jak</w:t>
      </w:r>
      <w:r w:rsidR="006A4AC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ou jinou 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>výš</w:t>
      </w:r>
      <w:r w:rsidR="006A4AC6" w:rsidRPr="006A4AC6">
        <w:rPr>
          <w:rFonts w:ascii="Times New Roman" w:hAnsi="Times New Roman"/>
          <w:bCs/>
          <w:color w:val="0E2034"/>
          <w:sz w:val="24"/>
          <w:szCs w:val="24"/>
        </w:rPr>
        <w:t>i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</w:t>
      </w:r>
      <w:r w:rsidR="006A4AC6" w:rsidRPr="006A4AC6">
        <w:rPr>
          <w:rFonts w:ascii="Times New Roman" w:hAnsi="Times New Roman"/>
          <w:bCs/>
          <w:color w:val="0E2034"/>
          <w:sz w:val="24"/>
          <w:szCs w:val="24"/>
        </w:rPr>
        <w:t>byste považovali za přijatelnou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(tak</w:t>
      </w:r>
      <w:r w:rsidR="00A36C30" w:rsidRPr="006A4AC6">
        <w:rPr>
          <w:rFonts w:ascii="Times New Roman" w:hAnsi="Times New Roman"/>
          <w:bCs/>
          <w:color w:val="0E2034"/>
          <w:sz w:val="24"/>
          <w:szCs w:val="24"/>
        </w:rPr>
        <w:t>,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aby pro Vás bylo využití jednotného patentu </w:t>
      </w:r>
      <w:r w:rsidR="006A4AC6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pro Vás 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>smysluplné)?</w:t>
      </w:r>
    </w:p>
    <w:p w:rsidR="006A4AC6" w:rsidRPr="006A4AC6" w:rsidRDefault="006A4AC6" w:rsidP="00582A07">
      <w:pPr>
        <w:pStyle w:val="Odstavecseseznamem"/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6A4AC6" w:rsidRPr="006A4AC6" w:rsidRDefault="006A4AC6" w:rsidP="00582A07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>Předpokládáte, že budete aktivními uživateli jednotného patentu?</w:t>
      </w:r>
    </w:p>
    <w:p w:rsidR="004665B0" w:rsidRPr="006A4AC6" w:rsidRDefault="004665B0" w:rsidP="00582A07">
      <w:pPr>
        <w:pStyle w:val="Odstavecseseznamem"/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4665B0" w:rsidRPr="006A4AC6" w:rsidRDefault="006A4AC6" w:rsidP="00582A07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>Jaké</w:t>
      </w:r>
      <w:r w:rsidR="004665B0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úspory Vašemu podniku/podnikatelům, které zastupujete, jednotný patent přinese? Pokud možno vyčíslete jednotlivé úspory</w:t>
      </w:r>
      <w:r w:rsidR="00582294">
        <w:rPr>
          <w:rFonts w:ascii="Times New Roman" w:hAnsi="Times New Roman"/>
          <w:bCs/>
          <w:color w:val="0E2034"/>
          <w:sz w:val="24"/>
          <w:szCs w:val="24"/>
        </w:rPr>
        <w:t xml:space="preserve"> a</w:t>
      </w:r>
      <w:r w:rsidR="004665B0"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uveďte, o jaké podniky se jedná. </w:t>
      </w:r>
    </w:p>
    <w:p w:rsidR="004665B0" w:rsidRPr="006A4AC6" w:rsidRDefault="004665B0" w:rsidP="00582A07">
      <w:pPr>
        <w:pStyle w:val="Odstavecseseznamem"/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>(může se jednat zejména o úspory nákladů na překlady, zastoupení v jednotlivých ČS, včetně udržovacích poplatků, můžete zahrnout též potenciální zisky z rozšíření území, na kterém hodláte obchodovat)</w:t>
      </w:r>
      <w:r w:rsidR="00A74AD9">
        <w:rPr>
          <w:rFonts w:ascii="Times New Roman" w:hAnsi="Times New Roman"/>
          <w:bCs/>
          <w:color w:val="0E2034"/>
          <w:sz w:val="24"/>
          <w:szCs w:val="24"/>
        </w:rPr>
        <w:t>.</w:t>
      </w:r>
    </w:p>
    <w:p w:rsidR="004665B0" w:rsidRPr="006A4AC6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4665B0" w:rsidRPr="006A4AC6" w:rsidRDefault="006A4AC6" w:rsidP="00582A07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Předpokládáte, že v případě </w:t>
      </w:r>
      <w:r w:rsidR="00F46F58">
        <w:rPr>
          <w:rFonts w:ascii="Times New Roman" w:hAnsi="Times New Roman"/>
          <w:bCs/>
          <w:color w:val="0E2034"/>
          <w:sz w:val="24"/>
          <w:szCs w:val="24"/>
        </w:rPr>
        <w:t>praktického využití</w:t>
      </w: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 jednotného patentu dojde k nárůstu exportu zboží nebo služeb Vašeho podniku/Vámi zastupovaných podniků do zemí EU? Jaký nárůst a jaké příjmy předpokládáte? Z</w:t>
      </w:r>
      <w:r w:rsidR="004665B0" w:rsidRPr="006A4AC6">
        <w:rPr>
          <w:rFonts w:ascii="Times New Roman" w:hAnsi="Times New Roman"/>
          <w:bCs/>
          <w:color w:val="0E2034"/>
          <w:sz w:val="24"/>
          <w:szCs w:val="24"/>
        </w:rPr>
        <w:t>ahrňte prosím též možné příjmy z licenčních smluv.</w:t>
      </w:r>
    </w:p>
    <w:p w:rsidR="004665B0" w:rsidRPr="006A4AC6" w:rsidRDefault="004665B0" w:rsidP="00582A07">
      <w:pPr>
        <w:pStyle w:val="Odstavecseseznamem"/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4665B0" w:rsidRPr="006A4AC6" w:rsidRDefault="004665B0" w:rsidP="00582A07">
      <w:pPr>
        <w:pStyle w:val="Odstavecseseznamem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>Uveďte, prosím, jakékoli další výhody či nevýhody, které by Vám jednotný patent mohl přinést.</w:t>
      </w:r>
    </w:p>
    <w:p w:rsidR="004665B0" w:rsidRPr="006A4AC6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ind w:left="360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</w:p>
    <w:p w:rsidR="004665B0" w:rsidRPr="006A4AC6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Times New Roman" w:hAnsi="Times New Roman"/>
          <w:bCs/>
          <w:color w:val="0E2034"/>
          <w:sz w:val="24"/>
          <w:szCs w:val="24"/>
        </w:rPr>
      </w:pPr>
      <w:r w:rsidRPr="006A4AC6">
        <w:rPr>
          <w:rFonts w:ascii="Times New Roman" w:hAnsi="Times New Roman"/>
          <w:bCs/>
          <w:color w:val="0E2034"/>
          <w:sz w:val="24"/>
          <w:szCs w:val="24"/>
        </w:rPr>
        <w:t xml:space="preserve">Jednotlivé příjmy a úspory, prosím, pokud možno co nejblíže specifikujte, abychom je mohli co nepřesněji agregovat a nedocházelo k překryvům. </w:t>
      </w:r>
    </w:p>
    <w:p w:rsidR="004665B0" w:rsidRDefault="004665B0" w:rsidP="00582A07">
      <w:pPr>
        <w:overflowPunct/>
        <w:autoSpaceDE/>
        <w:autoSpaceDN/>
        <w:adjustRightInd/>
        <w:spacing w:after="0" w:line="276" w:lineRule="auto"/>
        <w:textAlignment w:val="auto"/>
        <w:rPr>
          <w:rFonts w:ascii="Arial" w:hAnsi="Arial" w:cs="Arial"/>
          <w:bCs/>
          <w:color w:val="0E2034"/>
          <w:sz w:val="23"/>
          <w:szCs w:val="23"/>
        </w:rPr>
      </w:pPr>
      <w:r>
        <w:rPr>
          <w:rFonts w:ascii="Arial" w:hAnsi="Arial" w:cs="Arial"/>
          <w:bCs/>
          <w:color w:val="0E2034"/>
          <w:sz w:val="23"/>
          <w:szCs w:val="23"/>
        </w:rPr>
        <w:br w:type="page"/>
      </w:r>
    </w:p>
    <w:p w:rsidR="004665B0" w:rsidRPr="00BE3B9B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Arial" w:hAnsi="Arial" w:cs="Arial"/>
          <w:b/>
          <w:bCs/>
          <w:color w:val="0E2034"/>
          <w:sz w:val="23"/>
          <w:szCs w:val="23"/>
        </w:rPr>
      </w:pPr>
    </w:p>
    <w:p w:rsidR="004665B0" w:rsidRPr="00493404" w:rsidRDefault="004665B0" w:rsidP="00582A07">
      <w:pPr>
        <w:shd w:val="clear" w:color="auto" w:fill="FFFFFF"/>
        <w:overflowPunct/>
        <w:autoSpaceDE/>
        <w:autoSpaceDN/>
        <w:adjustRightInd/>
        <w:spacing w:after="79" w:line="276" w:lineRule="auto"/>
        <w:jc w:val="both"/>
        <w:textAlignment w:val="auto"/>
        <w:outlineLvl w:val="2"/>
        <w:rPr>
          <w:rFonts w:ascii="Arial" w:hAnsi="Arial" w:cs="Arial"/>
          <w:b/>
          <w:bCs/>
          <w:color w:val="0E2034"/>
          <w:sz w:val="23"/>
          <w:szCs w:val="23"/>
        </w:rPr>
      </w:pPr>
      <w:r w:rsidRPr="00BE3B9B">
        <w:rPr>
          <w:rFonts w:ascii="Arial" w:hAnsi="Arial" w:cs="Arial"/>
          <w:b/>
          <w:bCs/>
          <w:color w:val="0E2034"/>
          <w:sz w:val="23"/>
          <w:szCs w:val="23"/>
        </w:rPr>
        <w:t xml:space="preserve">Srovnání udržovacích poplatků </w:t>
      </w:r>
      <w:r w:rsidRPr="00493404">
        <w:rPr>
          <w:rFonts w:ascii="Arial" w:hAnsi="Arial" w:cs="Arial"/>
          <w:b/>
          <w:bCs/>
          <w:color w:val="0E2034"/>
          <w:sz w:val="23"/>
          <w:szCs w:val="23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2643"/>
        <w:gridCol w:w="4107"/>
      </w:tblGrid>
      <w:tr w:rsidR="00514C34" w:rsidRPr="00493404" w:rsidTr="00514C34">
        <w:tc>
          <w:tcPr>
            <w:tcW w:w="2882" w:type="dxa"/>
            <w:shd w:val="clear" w:color="auto" w:fill="C9CBCE"/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240"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</w:pPr>
            <w:r w:rsidRPr="00BE3B9B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Rok</w:t>
            </w:r>
            <w:r w:rsidRPr="00493404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  <w:shd w:val="clear" w:color="auto" w:fill="C9CBCE"/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240"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True TOP 4 </w:t>
            </w:r>
          </w:p>
        </w:tc>
        <w:tc>
          <w:tcPr>
            <w:tcW w:w="4107" w:type="dxa"/>
            <w:shd w:val="clear" w:color="auto" w:fill="C9CBCE"/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514C34" w:rsidRDefault="004665B0" w:rsidP="00582A07">
            <w:pPr>
              <w:overflowPunct/>
              <w:autoSpaceDE/>
              <w:autoSpaceDN/>
              <w:adjustRightInd/>
              <w:spacing w:before="100" w:beforeAutospacing="1" w:after="240"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25 </w:t>
            </w:r>
            <w:r w:rsidRPr="00BE3B9B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členských států</w:t>
            </w:r>
            <w:r w:rsidRPr="00493404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 </w:t>
            </w:r>
          </w:p>
          <w:p w:rsidR="004665B0" w:rsidRPr="00493404" w:rsidRDefault="00514C34" w:rsidP="00582A07">
            <w:pPr>
              <w:overflowPunct/>
              <w:autoSpaceDE/>
              <w:autoSpaceDN/>
              <w:adjustRightInd/>
              <w:spacing w:before="100" w:beforeAutospacing="1" w:after="240"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-</w:t>
            </w:r>
            <w:r w:rsidR="004665B0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souhrn udržovacích poplatků v </w:t>
            </w:r>
            <w:r w:rsidR="004665B0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současn</w:t>
            </w:r>
            <w:r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ém</w:t>
            </w:r>
            <w:r w:rsidR="004665B0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 systém</w:t>
            </w:r>
            <w:r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u</w:t>
            </w:r>
            <w:r w:rsidR="004665B0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 evropského patentu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€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€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2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0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105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1 298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4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145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1 874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5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315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2 545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6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475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3 271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7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630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3 886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8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815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4 625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9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990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5 513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10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1 175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6 416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11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1 460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7 424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12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1 775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8 473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13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2 105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9 594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14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2 455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10 741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15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2 830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11 917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16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3 240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13 369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17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3 640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14 753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18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4 055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16 065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19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4 455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17 660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20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4 855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19 197 </w:t>
            </w:r>
          </w:p>
        </w:tc>
      </w:tr>
      <w:tr w:rsidR="00514C34" w:rsidRPr="00493404" w:rsidTr="00514C34">
        <w:tc>
          <w:tcPr>
            <w:tcW w:w="2882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BE3B9B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>Celkem</w:t>
            </w:r>
            <w:r w:rsidRPr="00493404">
              <w:rPr>
                <w:rFonts w:ascii="Arial" w:hAnsi="Arial" w:cs="Arial"/>
                <w:b/>
                <w:bCs/>
                <w:color w:val="0E2034"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 xml:space="preserve">35 555 </w:t>
            </w:r>
          </w:p>
        </w:tc>
        <w:tc>
          <w:tcPr>
            <w:tcW w:w="4107" w:type="dxa"/>
            <w:tcBorders>
              <w:bottom w:val="single" w:sz="8" w:space="0" w:color="9B9EA3"/>
            </w:tcBorders>
            <w:tcMar>
              <w:top w:w="120" w:type="dxa"/>
              <w:left w:w="280" w:type="dxa"/>
              <w:bottom w:w="120" w:type="dxa"/>
              <w:right w:w="280" w:type="dxa"/>
            </w:tcMar>
            <w:hideMark/>
          </w:tcPr>
          <w:p w:rsidR="004665B0" w:rsidRPr="00493404" w:rsidRDefault="004665B0" w:rsidP="00582A07">
            <w:pPr>
              <w:overflowPunct/>
              <w:autoSpaceDE/>
              <w:autoSpaceDN/>
              <w:adjustRightInd/>
              <w:spacing w:before="100" w:beforeAutospacing="1" w:after="0" w:line="276" w:lineRule="auto"/>
              <w:jc w:val="both"/>
              <w:textAlignment w:val="auto"/>
              <w:rPr>
                <w:rFonts w:ascii="Arial" w:hAnsi="Arial" w:cs="Arial"/>
                <w:color w:val="0E2034"/>
                <w:sz w:val="18"/>
                <w:szCs w:val="18"/>
              </w:rPr>
            </w:pPr>
            <w:r w:rsidRPr="00493404">
              <w:rPr>
                <w:rFonts w:ascii="Arial" w:hAnsi="Arial" w:cs="Arial"/>
                <w:color w:val="0E2034"/>
                <w:sz w:val="18"/>
                <w:szCs w:val="18"/>
              </w:rPr>
              <w:t>158 621</w:t>
            </w:r>
          </w:p>
        </w:tc>
      </w:tr>
    </w:tbl>
    <w:p w:rsidR="004665B0" w:rsidRPr="00BE3B9B" w:rsidRDefault="004665B0" w:rsidP="00582A07">
      <w:pPr>
        <w:spacing w:line="276" w:lineRule="auto"/>
        <w:jc w:val="both"/>
        <w:rPr>
          <w:szCs w:val="22"/>
        </w:rPr>
      </w:pPr>
    </w:p>
    <w:p w:rsidR="004665B0" w:rsidRPr="00BE3B9B" w:rsidRDefault="004665B0" w:rsidP="00582A07">
      <w:pPr>
        <w:spacing w:line="276" w:lineRule="auto"/>
        <w:jc w:val="both"/>
        <w:rPr>
          <w:szCs w:val="22"/>
        </w:rPr>
      </w:pPr>
    </w:p>
    <w:p w:rsidR="004665B0" w:rsidRPr="00A36C30" w:rsidRDefault="004665B0" w:rsidP="00A655E7">
      <w:pPr>
        <w:spacing w:line="276" w:lineRule="auto"/>
        <w:jc w:val="both"/>
        <w:rPr>
          <w:rFonts w:ascii="Arial" w:hAnsi="Arial" w:cs="Arial"/>
          <w:bCs/>
          <w:color w:val="0E2034"/>
          <w:sz w:val="23"/>
          <w:szCs w:val="23"/>
        </w:rPr>
      </w:pPr>
      <w:r w:rsidRPr="00BE3B9B">
        <w:rPr>
          <w:szCs w:val="22"/>
        </w:rPr>
        <w:t xml:space="preserve">Zdroj </w:t>
      </w:r>
      <w:hyperlink r:id="rId8" w:history="1">
        <w:r w:rsidRPr="00BE3B9B">
          <w:rPr>
            <w:rStyle w:val="Hypertextovodkaz"/>
            <w:szCs w:val="22"/>
          </w:rPr>
          <w:t>internetov</w:t>
        </w:r>
        <w:r>
          <w:rPr>
            <w:rStyle w:val="Hypertextovodkaz"/>
            <w:szCs w:val="22"/>
          </w:rPr>
          <w:t>é</w:t>
        </w:r>
        <w:r w:rsidRPr="00BE3B9B">
          <w:rPr>
            <w:rStyle w:val="Hypertextovodkaz"/>
            <w:szCs w:val="22"/>
          </w:rPr>
          <w:t xml:space="preserve"> stránk</w:t>
        </w:r>
        <w:r>
          <w:rPr>
            <w:rStyle w:val="Hypertextovodkaz"/>
            <w:szCs w:val="22"/>
          </w:rPr>
          <w:t>y</w:t>
        </w:r>
        <w:r w:rsidRPr="00BE3B9B">
          <w:rPr>
            <w:rStyle w:val="Hypertextovodkaz"/>
            <w:szCs w:val="22"/>
          </w:rPr>
          <w:t xml:space="preserve"> EPO</w:t>
        </w:r>
      </w:hyperlink>
      <w:r w:rsidRPr="00BE3B9B">
        <w:rPr>
          <w:szCs w:val="22"/>
        </w:rPr>
        <w:t>.</w:t>
      </w:r>
    </w:p>
    <w:sectPr w:rsidR="004665B0" w:rsidRPr="00A36C30" w:rsidSect="00803B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05" w:rsidRDefault="00191305" w:rsidP="00C45C7E">
      <w:pPr>
        <w:spacing w:after="0" w:line="240" w:lineRule="auto"/>
      </w:pPr>
      <w:r>
        <w:separator/>
      </w:r>
    </w:p>
  </w:endnote>
  <w:endnote w:type="continuationSeparator" w:id="0">
    <w:p w:rsidR="00191305" w:rsidRDefault="00191305" w:rsidP="00C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05" w:rsidRDefault="00191305" w:rsidP="00C45C7E">
      <w:pPr>
        <w:spacing w:after="0" w:line="240" w:lineRule="auto"/>
      </w:pPr>
      <w:r>
        <w:separator/>
      </w:r>
    </w:p>
  </w:footnote>
  <w:footnote w:type="continuationSeparator" w:id="0">
    <w:p w:rsidR="00191305" w:rsidRDefault="00191305" w:rsidP="00C45C7E">
      <w:pPr>
        <w:spacing w:after="0" w:line="240" w:lineRule="auto"/>
      </w:pPr>
      <w:r>
        <w:continuationSeparator/>
      </w:r>
    </w:p>
  </w:footnote>
  <w:footnote w:id="1">
    <w:p w:rsidR="00582294" w:rsidRDefault="00582294" w:rsidP="00582294">
      <w:pPr>
        <w:pStyle w:val="Textpoznpodarou"/>
      </w:pPr>
      <w:r>
        <w:rPr>
          <w:rStyle w:val="Znakapoznpodarou"/>
        </w:rPr>
        <w:footnoteRef/>
      </w:r>
      <w:r>
        <w:t xml:space="preserve"> Zdroj: Study on the Cost of Patenting, Roland Berger Market Research 2005.</w:t>
      </w:r>
    </w:p>
    <w:p w:rsidR="00582294" w:rsidRDefault="00582294" w:rsidP="00582294">
      <w:pPr>
        <w:pStyle w:val="Textpoznpodarou"/>
      </w:pPr>
    </w:p>
    <w:p w:rsidR="00582294" w:rsidRDefault="00582294" w:rsidP="0058229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32496"/>
    <w:multiLevelType w:val="hybridMultilevel"/>
    <w:tmpl w:val="9CB42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161D"/>
    <w:multiLevelType w:val="hybridMultilevel"/>
    <w:tmpl w:val="6B983C0E"/>
    <w:lvl w:ilvl="0" w:tplc="234EAE68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b/>
        <w:color w:val="0E2034"/>
        <w:sz w:val="23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ED33962"/>
    <w:multiLevelType w:val="hybridMultilevel"/>
    <w:tmpl w:val="47AC0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C"/>
    <w:rsid w:val="0001650E"/>
    <w:rsid w:val="00043077"/>
    <w:rsid w:val="00060C43"/>
    <w:rsid w:val="000659B8"/>
    <w:rsid w:val="00145761"/>
    <w:rsid w:val="00191305"/>
    <w:rsid w:val="001E3701"/>
    <w:rsid w:val="0026750E"/>
    <w:rsid w:val="00273523"/>
    <w:rsid w:val="00284FA3"/>
    <w:rsid w:val="002A66DC"/>
    <w:rsid w:val="00304D42"/>
    <w:rsid w:val="00345FFF"/>
    <w:rsid w:val="003A1711"/>
    <w:rsid w:val="003A65D8"/>
    <w:rsid w:val="004444EC"/>
    <w:rsid w:val="00456E7C"/>
    <w:rsid w:val="004665B0"/>
    <w:rsid w:val="00480885"/>
    <w:rsid w:val="00514C34"/>
    <w:rsid w:val="00582294"/>
    <w:rsid w:val="00582A07"/>
    <w:rsid w:val="005F694A"/>
    <w:rsid w:val="006611EC"/>
    <w:rsid w:val="006A4AC6"/>
    <w:rsid w:val="006D2DF9"/>
    <w:rsid w:val="00704642"/>
    <w:rsid w:val="0075637D"/>
    <w:rsid w:val="007E28C4"/>
    <w:rsid w:val="00803B20"/>
    <w:rsid w:val="00826362"/>
    <w:rsid w:val="00831A2E"/>
    <w:rsid w:val="008E2222"/>
    <w:rsid w:val="008F63EB"/>
    <w:rsid w:val="009229AC"/>
    <w:rsid w:val="00925E53"/>
    <w:rsid w:val="00927590"/>
    <w:rsid w:val="00951855"/>
    <w:rsid w:val="0099534C"/>
    <w:rsid w:val="009B6689"/>
    <w:rsid w:val="00A36C30"/>
    <w:rsid w:val="00A45886"/>
    <w:rsid w:val="00A655E7"/>
    <w:rsid w:val="00A7378F"/>
    <w:rsid w:val="00A74AD9"/>
    <w:rsid w:val="00A9296B"/>
    <w:rsid w:val="00A95B35"/>
    <w:rsid w:val="00AD639A"/>
    <w:rsid w:val="00AE1C06"/>
    <w:rsid w:val="00C45C7E"/>
    <w:rsid w:val="00CA02A9"/>
    <w:rsid w:val="00D300F9"/>
    <w:rsid w:val="00D47DC5"/>
    <w:rsid w:val="00DE7995"/>
    <w:rsid w:val="00E9036B"/>
    <w:rsid w:val="00F258E6"/>
    <w:rsid w:val="00F46F58"/>
    <w:rsid w:val="00F71EEE"/>
    <w:rsid w:val="00FB1E56"/>
    <w:rsid w:val="00FB3B08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3F694F-A028-458C-9CF0-93A4893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65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59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45C7E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C7E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C45C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5C7E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45C7E"/>
    <w:rPr>
      <w:rFonts w:asciiTheme="minorHAnsi" w:hAnsiTheme="minorHAnsi"/>
    </w:rPr>
  </w:style>
  <w:style w:type="character" w:styleId="Odkaznavysvtlivky">
    <w:name w:val="endnote reference"/>
    <w:basedOn w:val="Standardnpsmoodstavce"/>
    <w:uiPriority w:val="99"/>
    <w:semiHidden/>
    <w:unhideWhenUsed/>
    <w:rsid w:val="00C45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.org/news-issues/news/2015/201506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2880-23F4-4550-BFDC-CB5C0D8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Aliapuliosová Eva</cp:lastModifiedBy>
  <cp:revision>2</cp:revision>
  <cp:lastPrinted>2015-08-18T06:53:00Z</cp:lastPrinted>
  <dcterms:created xsi:type="dcterms:W3CDTF">2015-09-07T10:52:00Z</dcterms:created>
  <dcterms:modified xsi:type="dcterms:W3CDTF">2015-09-07T10:52:00Z</dcterms:modified>
</cp:coreProperties>
</file>