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6F4" w:rsidRPr="000A26F4" w:rsidRDefault="00843995" w:rsidP="00843995">
      <w:pPr>
        <w:pStyle w:val="BodyText"/>
        <w:jc w:val="center"/>
        <w:rPr>
          <w:b/>
          <w:sz w:val="20"/>
        </w:rPr>
      </w:pPr>
      <w:r>
        <w:rPr>
          <w:noProof/>
          <w:lang w:val="lt-LT" w:eastAsia="lt-LT"/>
        </w:rPr>
        <w:drawing>
          <wp:inline distT="0" distB="0" distL="0" distR="0" wp14:anchorId="7B830B2F" wp14:editId="6D510687">
            <wp:extent cx="3333750" cy="903945"/>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8" cstate="print">
                      <a:extLst>
                        <a:ext uri="{28A0092B-C50C-407E-A947-70E740481C1C}">
                          <a14:useLocalDpi xmlns:a14="http://schemas.microsoft.com/office/drawing/2010/main" val="0"/>
                        </a:ext>
                      </a:extLst>
                    </a:blip>
                    <a:srcRect l="12604" t="31538" r="15664" b="30917"/>
                    <a:stretch/>
                  </pic:blipFill>
                  <pic:spPr bwMode="auto">
                    <a:xfrm>
                      <a:off x="0" y="0"/>
                      <a:ext cx="3364837" cy="912374"/>
                    </a:xfrm>
                    <a:prstGeom prst="rect">
                      <a:avLst/>
                    </a:prstGeom>
                    <a:ln>
                      <a:noFill/>
                    </a:ln>
                    <a:extLst>
                      <a:ext uri="{53640926-AAD7-44D8-BBD7-CCE9431645EC}">
                        <a14:shadowObscured xmlns:a14="http://schemas.microsoft.com/office/drawing/2010/main"/>
                      </a:ext>
                    </a:extLst>
                  </pic:spPr>
                </pic:pic>
              </a:graphicData>
            </a:graphic>
          </wp:inline>
        </w:drawing>
      </w:r>
    </w:p>
    <w:p w:rsidR="000A3000" w:rsidRDefault="008E7EAE" w:rsidP="003208CB">
      <w:pPr>
        <w:pStyle w:val="Heading1"/>
        <w:spacing w:before="120" w:after="120"/>
        <w:ind w:left="0" w:right="0"/>
      </w:pPr>
      <w:r>
        <w:t xml:space="preserve">Eastern Partnership </w:t>
      </w:r>
      <w:r w:rsidR="00C22AA0">
        <w:t>Connectivity</w:t>
      </w:r>
      <w:r w:rsidR="004753F9">
        <w:rPr>
          <w:spacing w:val="-1"/>
        </w:rPr>
        <w:t xml:space="preserve"> </w:t>
      </w:r>
      <w:r w:rsidR="00EC2444">
        <w:t>Seminar</w:t>
      </w:r>
    </w:p>
    <w:p w:rsidR="00277828" w:rsidRPr="00AD54F2" w:rsidRDefault="00E63B22" w:rsidP="003208CB">
      <w:pPr>
        <w:spacing w:before="120" w:after="120"/>
        <w:jc w:val="center"/>
        <w:rPr>
          <w:b/>
          <w:sz w:val="28"/>
        </w:rPr>
      </w:pPr>
      <w:r>
        <w:rPr>
          <w:b/>
          <w:sz w:val="28"/>
        </w:rPr>
        <w:t>19</w:t>
      </w:r>
      <w:r w:rsidR="004753F9" w:rsidRPr="00AD54F2">
        <w:rPr>
          <w:b/>
          <w:spacing w:val="3"/>
          <w:sz w:val="28"/>
        </w:rPr>
        <w:t xml:space="preserve"> </w:t>
      </w:r>
      <w:r w:rsidR="004753F9" w:rsidRPr="00AD54F2">
        <w:rPr>
          <w:b/>
          <w:sz w:val="28"/>
        </w:rPr>
        <w:t>October</w:t>
      </w:r>
      <w:r w:rsidR="004753F9" w:rsidRPr="00AD54F2">
        <w:rPr>
          <w:b/>
          <w:spacing w:val="4"/>
          <w:sz w:val="28"/>
        </w:rPr>
        <w:t xml:space="preserve"> </w:t>
      </w:r>
      <w:r w:rsidR="00C22AA0" w:rsidRPr="00AD54F2">
        <w:rPr>
          <w:b/>
          <w:sz w:val="28"/>
        </w:rPr>
        <w:t>2022</w:t>
      </w:r>
      <w:r w:rsidR="006D21BF">
        <w:rPr>
          <w:b/>
          <w:sz w:val="28"/>
        </w:rPr>
        <w:t>, Vilnius</w:t>
      </w:r>
    </w:p>
    <w:p w:rsidR="000A3000" w:rsidRPr="00AD54F2" w:rsidRDefault="00185986" w:rsidP="003208CB">
      <w:pPr>
        <w:pStyle w:val="Title"/>
        <w:spacing w:before="120" w:after="120"/>
        <w:ind w:left="0" w:right="0"/>
      </w:pPr>
      <w:r w:rsidRPr="00185986">
        <w:rPr>
          <w:b w:val="0"/>
          <w:noProof/>
          <w:lang w:val="lt-LT" w:eastAsia="lt-LT"/>
        </w:rPr>
        <mc:AlternateContent>
          <mc:Choice Requires="wps">
            <w:drawing>
              <wp:anchor distT="0" distB="0" distL="0" distR="0" simplePos="0" relativeHeight="487586816" behindDoc="1" locked="0" layoutInCell="1" allowOverlap="1" wp14:anchorId="7287C3E6" wp14:editId="41ACC166">
                <wp:simplePos x="0" y="0"/>
                <wp:positionH relativeFrom="page">
                  <wp:posOffset>723900</wp:posOffset>
                </wp:positionH>
                <wp:positionV relativeFrom="paragraph">
                  <wp:posOffset>506730</wp:posOffset>
                </wp:positionV>
                <wp:extent cx="6211570" cy="800100"/>
                <wp:effectExtent l="0" t="0" r="0" b="0"/>
                <wp:wrapTopAndBottom/>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570" cy="800100"/>
                        </a:xfrm>
                        <a:prstGeom prst="rect">
                          <a:avLst/>
                        </a:prstGeom>
                        <a:solidFill>
                          <a:srgbClr val="B8CC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000" w:rsidRPr="008E7EAE" w:rsidRDefault="001A0612">
                            <w:pPr>
                              <w:spacing w:before="128"/>
                              <w:ind w:left="1218" w:right="1348"/>
                              <w:jc w:val="center"/>
                              <w:rPr>
                                <w:b/>
                                <w:i/>
                                <w:color w:val="000000"/>
                                <w:sz w:val="20"/>
                                <w:szCs w:val="36"/>
                              </w:rPr>
                            </w:pPr>
                            <w:r w:rsidRPr="008E7EAE">
                              <w:rPr>
                                <w:b/>
                                <w:i/>
                                <w:iCs/>
                                <w:color w:val="1F497D"/>
                                <w:sz w:val="32"/>
                                <w:szCs w:val="36"/>
                              </w:rPr>
                              <w:t>Exploring the potential of EU’s Global Gateway and other connectivity platforms for Easter Partnership countries and beyond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7C3E6" id="_x0000_t202" coordsize="21600,21600" o:spt="202" path="m,l,21600r21600,l21600,xe">
                <v:stroke joinstyle="miter"/>
                <v:path gradientshapeok="t" o:connecttype="rect"/>
              </v:shapetype>
              <v:shape id="docshape9" o:spid="_x0000_s1026" type="#_x0000_t202" style="position:absolute;left:0;text-align:left;margin-left:57pt;margin-top:39.9pt;width:489.1pt;height:63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" fillcolor="#b8cce3" stroked="f">
                <v:textbox inset="0,0,0,0">
                  <w:txbxContent>
                    <w:p w:rsidR="000A3000" w:rsidRPr="008E7EAE" w:rsidRDefault="001A0612">
                      <w:pPr>
                        <w:spacing w:before="128"/>
                        <w:ind w:left="1218" w:right="1348"/>
                        <w:jc w:val="center"/>
                        <w:rPr>
                          <w:b/>
                          <w:i/>
                          <w:color w:val="000000"/>
                          <w:sz w:val="20"/>
                          <w:szCs w:val="36"/>
                        </w:rPr>
                      </w:pPr>
                      <w:r w:rsidRPr="008E7EAE">
                        <w:rPr>
                          <w:b/>
                          <w:i/>
                          <w:iCs/>
                          <w:color w:val="1F497D"/>
                          <w:sz w:val="32"/>
                          <w:szCs w:val="36"/>
                        </w:rPr>
                        <w:t>Exploring the potential of EU’s Global Gateway and other connectivity platforms for Easter Partnership countries and beyond</w:t>
                      </w:r>
                    </w:p>
                  </w:txbxContent>
                </v:textbox>
                <w10:wrap type="topAndBottom" anchorx="page"/>
              </v:shape>
            </w:pict>
          </mc:Fallback>
        </mc:AlternateContent>
      </w:r>
      <w:r w:rsidR="008E7EAE">
        <w:rPr>
          <w:spacing w:val="-3"/>
        </w:rPr>
        <w:t>Concept</w:t>
      </w:r>
      <w:r w:rsidR="004753F9" w:rsidRPr="00AD54F2">
        <w:rPr>
          <w:spacing w:val="-3"/>
        </w:rPr>
        <w:t xml:space="preserve"> </w:t>
      </w:r>
      <w:r w:rsidR="004753F9" w:rsidRPr="00AD54F2">
        <w:t>Paper</w:t>
      </w:r>
    </w:p>
    <w:p w:rsidR="000A3000" w:rsidRPr="00185986" w:rsidRDefault="004753F9" w:rsidP="00185986">
      <w:pPr>
        <w:pStyle w:val="BodyText"/>
        <w:spacing w:before="120"/>
        <w:rPr>
          <w:b/>
          <w:sz w:val="24"/>
          <w:szCs w:val="24"/>
        </w:rPr>
      </w:pPr>
      <w:r w:rsidRPr="00185986">
        <w:rPr>
          <w:b/>
          <w:sz w:val="24"/>
          <w:szCs w:val="24"/>
        </w:rPr>
        <w:t>Purpose:</w:t>
      </w:r>
      <w:r w:rsidR="00185986">
        <w:rPr>
          <w:b/>
          <w:sz w:val="24"/>
          <w:szCs w:val="24"/>
        </w:rPr>
        <w:t xml:space="preserve"> </w:t>
      </w:r>
    </w:p>
    <w:p w:rsidR="000A3000" w:rsidRPr="001F069A" w:rsidRDefault="004753F9" w:rsidP="001F069A">
      <w:pPr>
        <w:pStyle w:val="BodyText"/>
        <w:spacing w:before="60" w:line="247" w:lineRule="auto"/>
        <w:jc w:val="both"/>
        <w:rPr>
          <w:sz w:val="24"/>
          <w:szCs w:val="24"/>
        </w:rPr>
      </w:pPr>
      <w:r w:rsidRPr="001F069A">
        <w:rPr>
          <w:sz w:val="24"/>
          <w:szCs w:val="24"/>
        </w:rPr>
        <w:t xml:space="preserve">With this background paper, we want to set the context regarding the Eastern Partnership (EaP) </w:t>
      </w:r>
      <w:r w:rsidR="00C22AA0" w:rsidRPr="001F069A">
        <w:rPr>
          <w:sz w:val="24"/>
          <w:szCs w:val="24"/>
        </w:rPr>
        <w:t>Connectivity</w:t>
      </w:r>
      <w:r w:rsidRPr="001F069A">
        <w:rPr>
          <w:spacing w:val="-3"/>
          <w:sz w:val="24"/>
          <w:szCs w:val="24"/>
        </w:rPr>
        <w:t xml:space="preserve"> </w:t>
      </w:r>
      <w:r w:rsidR="00E83026">
        <w:rPr>
          <w:sz w:val="24"/>
          <w:szCs w:val="24"/>
        </w:rPr>
        <w:t>Seminar</w:t>
      </w:r>
      <w:r w:rsidR="003208CB">
        <w:rPr>
          <w:sz w:val="24"/>
          <w:szCs w:val="24"/>
        </w:rPr>
        <w:t>.</w:t>
      </w:r>
    </w:p>
    <w:p w:rsidR="001F069A" w:rsidRDefault="001F069A" w:rsidP="00185986">
      <w:pPr>
        <w:pStyle w:val="Heading2"/>
        <w:numPr>
          <w:ilvl w:val="0"/>
          <w:numId w:val="2"/>
        </w:numPr>
        <w:tabs>
          <w:tab w:val="left" w:pos="329"/>
        </w:tabs>
        <w:spacing w:before="60" w:after="60"/>
        <w:ind w:left="329" w:hanging="221"/>
        <w:rPr>
          <w:sz w:val="24"/>
          <w:szCs w:val="24"/>
        </w:rPr>
      </w:pPr>
      <w:r w:rsidRPr="001F069A">
        <w:rPr>
          <w:sz w:val="24"/>
          <w:szCs w:val="24"/>
        </w:rPr>
        <w:t>Event location and scope:</w:t>
      </w:r>
    </w:p>
    <w:p w:rsidR="001F069A" w:rsidRPr="001F069A" w:rsidRDefault="001F069A" w:rsidP="001F069A">
      <w:pPr>
        <w:pStyle w:val="BodyText"/>
        <w:spacing w:before="60" w:line="247" w:lineRule="auto"/>
        <w:jc w:val="both"/>
        <w:rPr>
          <w:sz w:val="24"/>
          <w:szCs w:val="24"/>
        </w:rPr>
      </w:pPr>
      <w:r w:rsidRPr="001F069A">
        <w:rPr>
          <w:sz w:val="24"/>
          <w:szCs w:val="24"/>
        </w:rPr>
        <w:t xml:space="preserve">Event </w:t>
      </w:r>
      <w:r w:rsidR="001A0612">
        <w:rPr>
          <w:sz w:val="24"/>
          <w:szCs w:val="24"/>
        </w:rPr>
        <w:t xml:space="preserve">will </w:t>
      </w:r>
      <w:r>
        <w:rPr>
          <w:sz w:val="24"/>
          <w:szCs w:val="24"/>
        </w:rPr>
        <w:t>take place</w:t>
      </w:r>
      <w:r w:rsidR="008E7EAE">
        <w:rPr>
          <w:sz w:val="24"/>
          <w:szCs w:val="24"/>
        </w:rPr>
        <w:t xml:space="preserve"> 19 </w:t>
      </w:r>
      <w:r w:rsidRPr="001F069A">
        <w:rPr>
          <w:sz w:val="24"/>
          <w:szCs w:val="24"/>
        </w:rPr>
        <w:t>October 2022</w:t>
      </w:r>
      <w:r w:rsidR="00593E78">
        <w:rPr>
          <w:sz w:val="24"/>
          <w:szCs w:val="24"/>
        </w:rPr>
        <w:t xml:space="preserve"> </w:t>
      </w:r>
      <w:r w:rsidR="008E7EAE">
        <w:rPr>
          <w:sz w:val="24"/>
          <w:szCs w:val="24"/>
        </w:rPr>
        <w:t>in Vilnius, Lithuania</w:t>
      </w:r>
      <w:r w:rsidRPr="001F069A">
        <w:rPr>
          <w:sz w:val="24"/>
          <w:szCs w:val="24"/>
        </w:rPr>
        <w:t xml:space="preserve">. </w:t>
      </w:r>
      <w:r w:rsidR="008C7FD6">
        <w:rPr>
          <w:sz w:val="24"/>
          <w:szCs w:val="24"/>
        </w:rPr>
        <w:t xml:space="preserve">Representatives </w:t>
      </w:r>
      <w:r w:rsidRPr="001F069A">
        <w:rPr>
          <w:sz w:val="24"/>
          <w:szCs w:val="24"/>
        </w:rPr>
        <w:t xml:space="preserve">from </w:t>
      </w:r>
      <w:r w:rsidR="008E7EAE">
        <w:rPr>
          <w:sz w:val="24"/>
          <w:szCs w:val="24"/>
        </w:rPr>
        <w:t xml:space="preserve">the </w:t>
      </w:r>
      <w:r w:rsidRPr="001F069A">
        <w:rPr>
          <w:sz w:val="24"/>
          <w:szCs w:val="24"/>
        </w:rPr>
        <w:t>E</w:t>
      </w:r>
      <w:r w:rsidR="00CB3FA6">
        <w:rPr>
          <w:sz w:val="24"/>
          <w:szCs w:val="24"/>
        </w:rPr>
        <w:t>uropean Union</w:t>
      </w:r>
      <w:r w:rsidRPr="001F069A">
        <w:rPr>
          <w:sz w:val="24"/>
          <w:szCs w:val="24"/>
        </w:rPr>
        <w:t>, Ea</w:t>
      </w:r>
      <w:r w:rsidR="00CB3FA6">
        <w:rPr>
          <w:sz w:val="24"/>
          <w:szCs w:val="24"/>
        </w:rPr>
        <w:t xml:space="preserve">stern </w:t>
      </w:r>
      <w:r w:rsidRPr="001F069A">
        <w:rPr>
          <w:sz w:val="24"/>
          <w:szCs w:val="24"/>
        </w:rPr>
        <w:t>P</w:t>
      </w:r>
      <w:r w:rsidR="00CB3FA6">
        <w:rPr>
          <w:sz w:val="24"/>
          <w:szCs w:val="24"/>
        </w:rPr>
        <w:t>artnership states and EU strategic partner</w:t>
      </w:r>
      <w:r w:rsidR="00AD368D">
        <w:rPr>
          <w:sz w:val="24"/>
          <w:szCs w:val="24"/>
        </w:rPr>
        <w:t>s</w:t>
      </w:r>
      <w:r w:rsidR="00CB3FA6">
        <w:rPr>
          <w:sz w:val="24"/>
          <w:szCs w:val="24"/>
        </w:rPr>
        <w:t xml:space="preserve"> </w:t>
      </w:r>
      <w:r w:rsidRPr="001F069A">
        <w:rPr>
          <w:sz w:val="24"/>
          <w:szCs w:val="24"/>
        </w:rPr>
        <w:t>Japan</w:t>
      </w:r>
      <w:r w:rsidR="00AD368D">
        <w:rPr>
          <w:sz w:val="24"/>
          <w:szCs w:val="24"/>
        </w:rPr>
        <w:t xml:space="preserve"> and the United States</w:t>
      </w:r>
      <w:r w:rsidR="008C7FD6">
        <w:rPr>
          <w:sz w:val="24"/>
          <w:szCs w:val="24"/>
        </w:rPr>
        <w:t xml:space="preserve"> will be invited to attend</w:t>
      </w:r>
      <w:r>
        <w:rPr>
          <w:sz w:val="24"/>
          <w:szCs w:val="24"/>
        </w:rPr>
        <w:t xml:space="preserve">. The main focus </w:t>
      </w:r>
      <w:r w:rsidR="001A0612">
        <w:rPr>
          <w:sz w:val="24"/>
          <w:szCs w:val="24"/>
        </w:rPr>
        <w:t xml:space="preserve">will be on </w:t>
      </w:r>
      <w:r w:rsidR="00484AC7">
        <w:rPr>
          <w:sz w:val="24"/>
          <w:szCs w:val="24"/>
        </w:rPr>
        <w:t>the opportunities</w:t>
      </w:r>
      <w:r w:rsidR="00484AC7" w:rsidDel="00484AC7">
        <w:rPr>
          <w:sz w:val="24"/>
          <w:szCs w:val="24"/>
        </w:rPr>
        <w:t xml:space="preserve"> </w:t>
      </w:r>
      <w:r w:rsidR="00484AC7">
        <w:rPr>
          <w:sz w:val="24"/>
          <w:szCs w:val="24"/>
        </w:rPr>
        <w:t>provid</w:t>
      </w:r>
      <w:r w:rsidR="001A0612">
        <w:rPr>
          <w:sz w:val="24"/>
          <w:szCs w:val="24"/>
        </w:rPr>
        <w:t>ed by the Global Gateway program of</w:t>
      </w:r>
      <w:r w:rsidR="00593E78">
        <w:rPr>
          <w:sz w:val="24"/>
          <w:szCs w:val="24"/>
        </w:rPr>
        <w:t xml:space="preserve"> the</w:t>
      </w:r>
      <w:r w:rsidR="001A0612">
        <w:rPr>
          <w:sz w:val="24"/>
          <w:szCs w:val="24"/>
        </w:rPr>
        <w:t xml:space="preserve"> EU and other regional connectivity platforms</w:t>
      </w:r>
      <w:r w:rsidR="00484AC7">
        <w:rPr>
          <w:sz w:val="24"/>
          <w:szCs w:val="24"/>
        </w:rPr>
        <w:t>, notably</w:t>
      </w:r>
      <w:r w:rsidR="001A0612">
        <w:rPr>
          <w:sz w:val="24"/>
          <w:szCs w:val="24"/>
        </w:rPr>
        <w:t xml:space="preserve"> such as the Th</w:t>
      </w:r>
      <w:r w:rsidR="007D4D0B">
        <w:rPr>
          <w:sz w:val="24"/>
          <w:szCs w:val="24"/>
        </w:rPr>
        <w:t>r</w:t>
      </w:r>
      <w:r w:rsidR="001A0612">
        <w:rPr>
          <w:sz w:val="24"/>
          <w:szCs w:val="24"/>
        </w:rPr>
        <w:t>ee Seas Initiative</w:t>
      </w:r>
      <w:r w:rsidR="007D4D0B">
        <w:rPr>
          <w:sz w:val="24"/>
          <w:szCs w:val="24"/>
        </w:rPr>
        <w:t xml:space="preserve"> (3SI)</w:t>
      </w:r>
      <w:r w:rsidR="001A0612">
        <w:rPr>
          <w:sz w:val="24"/>
          <w:szCs w:val="24"/>
        </w:rPr>
        <w:t>.</w:t>
      </w:r>
    </w:p>
    <w:p w:rsidR="000A3000" w:rsidRDefault="004753F9" w:rsidP="00185986">
      <w:pPr>
        <w:pStyle w:val="Heading2"/>
        <w:numPr>
          <w:ilvl w:val="0"/>
          <w:numId w:val="2"/>
        </w:numPr>
        <w:tabs>
          <w:tab w:val="left" w:pos="329"/>
        </w:tabs>
        <w:spacing w:before="60" w:after="60"/>
        <w:ind w:left="329" w:hanging="221"/>
        <w:rPr>
          <w:b w:val="0"/>
        </w:rPr>
      </w:pPr>
      <w:r>
        <w:t>Political</w:t>
      </w:r>
      <w:r>
        <w:rPr>
          <w:spacing w:val="3"/>
        </w:rPr>
        <w:t xml:space="preserve"> </w:t>
      </w:r>
      <w:r>
        <w:t>context</w:t>
      </w:r>
    </w:p>
    <w:p w:rsidR="00411189" w:rsidRPr="009068A7" w:rsidRDefault="00411189" w:rsidP="00411189">
      <w:pPr>
        <w:spacing w:before="60" w:line="247" w:lineRule="auto"/>
        <w:jc w:val="both"/>
        <w:rPr>
          <w:sz w:val="24"/>
          <w:szCs w:val="24"/>
        </w:rPr>
      </w:pPr>
      <w:r w:rsidRPr="009068A7">
        <w:rPr>
          <w:sz w:val="24"/>
          <w:szCs w:val="24"/>
        </w:rPr>
        <w:t xml:space="preserve">The European Commission and the EU High Representative have </w:t>
      </w:r>
      <w:r w:rsidR="00484AC7">
        <w:rPr>
          <w:sz w:val="24"/>
          <w:szCs w:val="24"/>
        </w:rPr>
        <w:t>launched</w:t>
      </w:r>
      <w:r w:rsidRPr="009068A7">
        <w:rPr>
          <w:sz w:val="24"/>
          <w:szCs w:val="24"/>
        </w:rPr>
        <w:t xml:space="preserve"> the Global Gateway, a</w:t>
      </w:r>
      <w:r w:rsidR="00484AC7">
        <w:rPr>
          <w:sz w:val="24"/>
          <w:szCs w:val="24"/>
        </w:rPr>
        <w:t>s the</w:t>
      </w:r>
      <w:r w:rsidRPr="009068A7">
        <w:rPr>
          <w:sz w:val="24"/>
          <w:szCs w:val="24"/>
        </w:rPr>
        <w:t xml:space="preserve"> new European strategy </w:t>
      </w:r>
      <w:r w:rsidR="00484AC7">
        <w:rPr>
          <w:sz w:val="24"/>
          <w:szCs w:val="24"/>
        </w:rPr>
        <w:t xml:space="preserve">set </w:t>
      </w:r>
      <w:r w:rsidRPr="009068A7">
        <w:rPr>
          <w:sz w:val="24"/>
          <w:szCs w:val="24"/>
        </w:rPr>
        <w:t>to boost smart, clean and secure links in digital, energy and transport sectors</w:t>
      </w:r>
      <w:r w:rsidR="00484AC7">
        <w:rPr>
          <w:sz w:val="24"/>
          <w:szCs w:val="24"/>
        </w:rPr>
        <w:t>,</w:t>
      </w:r>
      <w:r w:rsidRPr="009068A7">
        <w:rPr>
          <w:sz w:val="24"/>
          <w:szCs w:val="24"/>
        </w:rPr>
        <w:t xml:space="preserve"> a</w:t>
      </w:r>
      <w:r w:rsidR="00484AC7">
        <w:rPr>
          <w:sz w:val="24"/>
          <w:szCs w:val="24"/>
        </w:rPr>
        <w:t>s well as</w:t>
      </w:r>
      <w:r w:rsidRPr="009068A7">
        <w:rPr>
          <w:sz w:val="24"/>
          <w:szCs w:val="24"/>
        </w:rPr>
        <w:t xml:space="preserve"> to strengthen health, education and research systems across the world. The EU is stepping up its offer to its partners with major investments in infrastructure development </w:t>
      </w:r>
      <w:r w:rsidR="00484AC7">
        <w:rPr>
          <w:sz w:val="24"/>
          <w:szCs w:val="24"/>
        </w:rPr>
        <w:t>globally</w:t>
      </w:r>
      <w:r w:rsidRPr="009068A7">
        <w:rPr>
          <w:sz w:val="24"/>
          <w:szCs w:val="24"/>
        </w:rPr>
        <w:t>. Between 2021 and 2027, Team Europe, meaning the EU institutions and EU Member States jointly, will mobilise up to EUR 300 billion of investments in</w:t>
      </w:r>
      <w:r w:rsidR="00484AC7">
        <w:rPr>
          <w:sz w:val="24"/>
          <w:szCs w:val="24"/>
        </w:rPr>
        <w:t xml:space="preserve"> the areas of</w:t>
      </w:r>
      <w:r w:rsidRPr="009068A7">
        <w:rPr>
          <w:sz w:val="24"/>
          <w:szCs w:val="24"/>
        </w:rPr>
        <w:t>:</w:t>
      </w:r>
    </w:p>
    <w:p w:rsidR="00411189" w:rsidRPr="009068A7" w:rsidRDefault="00411189" w:rsidP="00411189">
      <w:pPr>
        <w:pStyle w:val="ListParagraph"/>
        <w:numPr>
          <w:ilvl w:val="0"/>
          <w:numId w:val="4"/>
        </w:numPr>
        <w:spacing w:before="1" w:line="247" w:lineRule="auto"/>
        <w:rPr>
          <w:sz w:val="24"/>
          <w:szCs w:val="24"/>
        </w:rPr>
      </w:pPr>
      <w:r w:rsidRPr="009068A7">
        <w:rPr>
          <w:sz w:val="24"/>
          <w:szCs w:val="24"/>
        </w:rPr>
        <w:t xml:space="preserve">digital </w:t>
      </w:r>
    </w:p>
    <w:p w:rsidR="00411189" w:rsidRPr="009068A7" w:rsidRDefault="00411189" w:rsidP="00411189">
      <w:pPr>
        <w:pStyle w:val="ListParagraph"/>
        <w:numPr>
          <w:ilvl w:val="0"/>
          <w:numId w:val="4"/>
        </w:numPr>
        <w:spacing w:before="1" w:line="247" w:lineRule="auto"/>
        <w:rPr>
          <w:sz w:val="24"/>
          <w:szCs w:val="24"/>
        </w:rPr>
      </w:pPr>
      <w:r w:rsidRPr="009068A7">
        <w:rPr>
          <w:sz w:val="24"/>
          <w:szCs w:val="24"/>
        </w:rPr>
        <w:t xml:space="preserve">climate and energy </w:t>
      </w:r>
    </w:p>
    <w:p w:rsidR="00411189" w:rsidRPr="009068A7" w:rsidRDefault="00411189" w:rsidP="00411189">
      <w:pPr>
        <w:pStyle w:val="ListParagraph"/>
        <w:numPr>
          <w:ilvl w:val="0"/>
          <w:numId w:val="4"/>
        </w:numPr>
        <w:spacing w:before="1" w:line="247" w:lineRule="auto"/>
        <w:rPr>
          <w:sz w:val="24"/>
          <w:szCs w:val="24"/>
        </w:rPr>
      </w:pPr>
      <w:r w:rsidRPr="009068A7">
        <w:rPr>
          <w:sz w:val="24"/>
          <w:szCs w:val="24"/>
        </w:rPr>
        <w:t xml:space="preserve">transport </w:t>
      </w:r>
    </w:p>
    <w:p w:rsidR="00411189" w:rsidRPr="009068A7" w:rsidRDefault="00411189" w:rsidP="00411189">
      <w:pPr>
        <w:pStyle w:val="ListParagraph"/>
        <w:numPr>
          <w:ilvl w:val="0"/>
          <w:numId w:val="4"/>
        </w:numPr>
        <w:spacing w:before="1" w:line="247" w:lineRule="auto"/>
        <w:rPr>
          <w:sz w:val="24"/>
          <w:szCs w:val="24"/>
        </w:rPr>
      </w:pPr>
      <w:r w:rsidRPr="009068A7">
        <w:rPr>
          <w:sz w:val="24"/>
          <w:szCs w:val="24"/>
        </w:rPr>
        <w:t xml:space="preserve">health </w:t>
      </w:r>
    </w:p>
    <w:p w:rsidR="00411189" w:rsidRPr="009068A7" w:rsidRDefault="00411189" w:rsidP="00411189">
      <w:pPr>
        <w:pStyle w:val="ListParagraph"/>
        <w:numPr>
          <w:ilvl w:val="0"/>
          <w:numId w:val="4"/>
        </w:numPr>
        <w:spacing w:before="1" w:line="247" w:lineRule="auto"/>
        <w:rPr>
          <w:sz w:val="24"/>
          <w:szCs w:val="24"/>
        </w:rPr>
      </w:pPr>
      <w:r w:rsidRPr="009068A7">
        <w:rPr>
          <w:sz w:val="24"/>
          <w:szCs w:val="24"/>
        </w:rPr>
        <w:t>education and research</w:t>
      </w:r>
      <w:r w:rsidR="00484AC7">
        <w:rPr>
          <w:sz w:val="24"/>
          <w:szCs w:val="24"/>
        </w:rPr>
        <w:t>.</w:t>
      </w:r>
    </w:p>
    <w:p w:rsidR="005D4658" w:rsidRPr="005D4658" w:rsidRDefault="00484AC7" w:rsidP="005D4658">
      <w:pPr>
        <w:spacing w:before="60" w:line="247" w:lineRule="auto"/>
        <w:jc w:val="both"/>
        <w:rPr>
          <w:sz w:val="24"/>
          <w:szCs w:val="24"/>
          <w:highlight w:val="yellow"/>
        </w:rPr>
      </w:pPr>
      <w:r>
        <w:rPr>
          <w:sz w:val="24"/>
          <w:szCs w:val="24"/>
        </w:rPr>
        <w:t xml:space="preserve">Given </w:t>
      </w:r>
      <w:r w:rsidR="00F97702">
        <w:rPr>
          <w:sz w:val="24"/>
          <w:szCs w:val="24"/>
        </w:rPr>
        <w:t>current geopolitical context, when East/West connections and supply chains are undergoing major and long lasting disruption because of Russia</w:t>
      </w:r>
      <w:r>
        <w:rPr>
          <w:sz w:val="24"/>
          <w:szCs w:val="24"/>
        </w:rPr>
        <w:t>’s</w:t>
      </w:r>
      <w:r w:rsidR="00F97702">
        <w:rPr>
          <w:sz w:val="24"/>
          <w:szCs w:val="24"/>
        </w:rPr>
        <w:t xml:space="preserve"> aggression against Ukraine</w:t>
      </w:r>
      <w:r w:rsidR="00AD54F2">
        <w:rPr>
          <w:sz w:val="24"/>
          <w:szCs w:val="24"/>
        </w:rPr>
        <w:t>,</w:t>
      </w:r>
      <w:r w:rsidR="00F97702">
        <w:rPr>
          <w:sz w:val="24"/>
          <w:szCs w:val="24"/>
        </w:rPr>
        <w:t xml:space="preserve"> t</w:t>
      </w:r>
      <w:r w:rsidR="00411189" w:rsidRPr="009068A7">
        <w:rPr>
          <w:sz w:val="24"/>
          <w:szCs w:val="24"/>
        </w:rPr>
        <w:t xml:space="preserve">he Global Gateway </w:t>
      </w:r>
      <w:r w:rsidR="005D4658">
        <w:rPr>
          <w:sz w:val="24"/>
          <w:szCs w:val="24"/>
        </w:rPr>
        <w:t>is poised to become an</w:t>
      </w:r>
      <w:r w:rsidR="00411189" w:rsidRPr="009068A7">
        <w:rPr>
          <w:sz w:val="24"/>
          <w:szCs w:val="24"/>
        </w:rPr>
        <w:t xml:space="preserve"> initiative of crucial importance, because it promotes worldwide infrastructure investments that create sustainable, smart, resilient, inclusive and safe netwo</w:t>
      </w:r>
      <w:r w:rsidR="00593E78">
        <w:rPr>
          <w:sz w:val="24"/>
          <w:szCs w:val="24"/>
        </w:rPr>
        <w:t xml:space="preserve">rks in all key connectivity sectors. For example, it will </w:t>
      </w:r>
      <w:r>
        <w:rPr>
          <w:sz w:val="24"/>
          <w:szCs w:val="24"/>
        </w:rPr>
        <w:t xml:space="preserve">enhance </w:t>
      </w:r>
      <w:r w:rsidR="00593E78">
        <w:rPr>
          <w:sz w:val="24"/>
          <w:szCs w:val="24"/>
        </w:rPr>
        <w:t xml:space="preserve">support </w:t>
      </w:r>
      <w:r>
        <w:rPr>
          <w:sz w:val="24"/>
          <w:szCs w:val="24"/>
        </w:rPr>
        <w:t xml:space="preserve">on </w:t>
      </w:r>
      <w:r w:rsidR="00411189" w:rsidRPr="009068A7">
        <w:rPr>
          <w:sz w:val="24"/>
          <w:szCs w:val="24"/>
        </w:rPr>
        <w:t xml:space="preserve">the extension of the Trans European Transport </w:t>
      </w:r>
      <w:r w:rsidR="00F97702">
        <w:rPr>
          <w:sz w:val="24"/>
          <w:szCs w:val="24"/>
        </w:rPr>
        <w:t xml:space="preserve">and Energy </w:t>
      </w:r>
      <w:r w:rsidR="00411189" w:rsidRPr="009068A7">
        <w:rPr>
          <w:sz w:val="24"/>
          <w:szCs w:val="24"/>
        </w:rPr>
        <w:t>Network</w:t>
      </w:r>
      <w:r w:rsidR="00F97702">
        <w:rPr>
          <w:sz w:val="24"/>
          <w:szCs w:val="24"/>
        </w:rPr>
        <w:t>s</w:t>
      </w:r>
      <w:r>
        <w:rPr>
          <w:sz w:val="24"/>
          <w:szCs w:val="24"/>
        </w:rPr>
        <w:t xml:space="preserve"> (TEN-T)</w:t>
      </w:r>
      <w:r w:rsidR="008C7FD6">
        <w:rPr>
          <w:sz w:val="24"/>
          <w:szCs w:val="24"/>
        </w:rPr>
        <w:t xml:space="preserve"> </w:t>
      </w:r>
      <w:r w:rsidR="00593E78">
        <w:rPr>
          <w:sz w:val="24"/>
          <w:szCs w:val="24"/>
        </w:rPr>
        <w:t>to</w:t>
      </w:r>
      <w:r w:rsidR="00411189" w:rsidRPr="009068A7">
        <w:rPr>
          <w:sz w:val="24"/>
          <w:szCs w:val="24"/>
        </w:rPr>
        <w:t xml:space="preserve"> EaP countries.</w:t>
      </w:r>
    </w:p>
    <w:p w:rsidR="00277828" w:rsidRDefault="00C22AA0" w:rsidP="00277828">
      <w:pPr>
        <w:pStyle w:val="BodyText"/>
        <w:spacing w:before="60" w:line="247" w:lineRule="auto"/>
        <w:jc w:val="both"/>
        <w:rPr>
          <w:sz w:val="24"/>
          <w:szCs w:val="24"/>
        </w:rPr>
      </w:pPr>
      <w:r w:rsidRPr="00F94478">
        <w:rPr>
          <w:sz w:val="24"/>
          <w:szCs w:val="24"/>
        </w:rPr>
        <w:t>The Global Gateway stands for sustainable and trusted connections that work fo</w:t>
      </w:r>
      <w:r>
        <w:rPr>
          <w:sz w:val="24"/>
          <w:szCs w:val="24"/>
        </w:rPr>
        <w:t>r people and the planet. It</w:t>
      </w:r>
      <w:r w:rsidRPr="00F94478">
        <w:rPr>
          <w:sz w:val="24"/>
          <w:szCs w:val="24"/>
        </w:rPr>
        <w:t xml:space="preserve"> help</w:t>
      </w:r>
      <w:r>
        <w:rPr>
          <w:sz w:val="24"/>
          <w:szCs w:val="24"/>
        </w:rPr>
        <w:t>s</w:t>
      </w:r>
      <w:r w:rsidRPr="00F94478">
        <w:rPr>
          <w:sz w:val="24"/>
          <w:szCs w:val="24"/>
        </w:rPr>
        <w:t xml:space="preserve"> to tackle the most pressing global challenges from fighting climate change, t</w:t>
      </w:r>
      <w:r w:rsidR="00D86586">
        <w:rPr>
          <w:sz w:val="24"/>
          <w:szCs w:val="24"/>
        </w:rPr>
        <w:t xml:space="preserve">o improving health systems, </w:t>
      </w:r>
      <w:r w:rsidRPr="00F94478">
        <w:rPr>
          <w:sz w:val="24"/>
          <w:szCs w:val="24"/>
        </w:rPr>
        <w:t xml:space="preserve">boosting competitiveness and security of global supply chains. </w:t>
      </w:r>
    </w:p>
    <w:p w:rsidR="00C22AA0" w:rsidRPr="00F94478" w:rsidRDefault="00277828" w:rsidP="00277828">
      <w:pPr>
        <w:pStyle w:val="BodyText"/>
        <w:spacing w:before="60" w:line="247" w:lineRule="auto"/>
        <w:jc w:val="both"/>
        <w:rPr>
          <w:sz w:val="24"/>
          <w:szCs w:val="24"/>
        </w:rPr>
      </w:pPr>
      <w:r>
        <w:rPr>
          <w:sz w:val="24"/>
          <w:szCs w:val="24"/>
        </w:rPr>
        <w:lastRenderedPageBreak/>
        <w:t>T</w:t>
      </w:r>
      <w:r w:rsidR="00C22AA0" w:rsidRPr="00F94478">
        <w:rPr>
          <w:sz w:val="24"/>
          <w:szCs w:val="24"/>
        </w:rPr>
        <w:t>he Global Gateway deliver</w:t>
      </w:r>
      <w:r w:rsidR="00484AC7">
        <w:rPr>
          <w:sz w:val="24"/>
          <w:szCs w:val="24"/>
        </w:rPr>
        <w:t>s</w:t>
      </w:r>
      <w:r w:rsidR="00C22AA0" w:rsidRPr="00F94478">
        <w:rPr>
          <w:sz w:val="24"/>
          <w:szCs w:val="24"/>
        </w:rPr>
        <w:t xml:space="preserve"> sustainable and high-quality projects, taking into account the needs of partner countries and ensuring lasting benefits for local communities. This allow</w:t>
      </w:r>
      <w:r w:rsidR="00C22AA0">
        <w:rPr>
          <w:sz w:val="24"/>
          <w:szCs w:val="24"/>
        </w:rPr>
        <w:t>s</w:t>
      </w:r>
      <w:r w:rsidR="00C22AA0" w:rsidRPr="00F94478">
        <w:rPr>
          <w:sz w:val="24"/>
          <w:szCs w:val="24"/>
        </w:rPr>
        <w:t xml:space="preserve"> EU’</w:t>
      </w:r>
      <w:r w:rsidR="007C4BA9">
        <w:rPr>
          <w:sz w:val="24"/>
          <w:szCs w:val="24"/>
        </w:rPr>
        <w:t>s</w:t>
      </w:r>
      <w:r w:rsidR="00C22AA0" w:rsidRPr="00F94478">
        <w:rPr>
          <w:sz w:val="24"/>
          <w:szCs w:val="24"/>
        </w:rPr>
        <w:t xml:space="preserve"> partners </w:t>
      </w:r>
      <w:r w:rsidR="00C22AA0">
        <w:rPr>
          <w:sz w:val="24"/>
          <w:szCs w:val="24"/>
        </w:rPr>
        <w:t xml:space="preserve">not only </w:t>
      </w:r>
      <w:r w:rsidR="00C22AA0" w:rsidRPr="00F94478">
        <w:rPr>
          <w:sz w:val="24"/>
          <w:szCs w:val="24"/>
        </w:rPr>
        <w:t>to develop their societies and economies, but also create</w:t>
      </w:r>
      <w:r w:rsidR="00C22AA0">
        <w:rPr>
          <w:sz w:val="24"/>
          <w:szCs w:val="24"/>
        </w:rPr>
        <w:t>s</w:t>
      </w:r>
      <w:r w:rsidR="00C22AA0" w:rsidRPr="00F94478">
        <w:rPr>
          <w:sz w:val="24"/>
          <w:szCs w:val="24"/>
        </w:rPr>
        <w:t xml:space="preserve"> opportunities for the EU Member States’ private sector to invest and remain competitive, whilst ensuring the highest environmental and labour standards, as well as sound financial management.</w:t>
      </w:r>
    </w:p>
    <w:p w:rsidR="00C22AA0" w:rsidRDefault="00C22AA0" w:rsidP="008268B7">
      <w:pPr>
        <w:spacing w:before="60" w:line="247" w:lineRule="auto"/>
        <w:jc w:val="both"/>
        <w:rPr>
          <w:sz w:val="24"/>
          <w:szCs w:val="24"/>
        </w:rPr>
      </w:pPr>
      <w:r w:rsidRPr="00F94478">
        <w:rPr>
          <w:sz w:val="24"/>
          <w:szCs w:val="24"/>
        </w:rPr>
        <w:t xml:space="preserve">The Global Gateway </w:t>
      </w:r>
      <w:r w:rsidR="00974D62">
        <w:rPr>
          <w:sz w:val="24"/>
          <w:szCs w:val="24"/>
        </w:rPr>
        <w:t>serves as</w:t>
      </w:r>
      <w:r w:rsidRPr="00F94478">
        <w:rPr>
          <w:sz w:val="24"/>
          <w:szCs w:val="24"/>
        </w:rPr>
        <w:t xml:space="preserve"> the EU contribution </w:t>
      </w:r>
      <w:r w:rsidR="00974D62">
        <w:rPr>
          <w:sz w:val="24"/>
          <w:szCs w:val="24"/>
        </w:rPr>
        <w:t xml:space="preserve">in </w:t>
      </w:r>
      <w:r w:rsidRPr="00F94478">
        <w:rPr>
          <w:sz w:val="24"/>
          <w:szCs w:val="24"/>
        </w:rPr>
        <w:t xml:space="preserve">narrowing global investment gap worldwide. It is in line with the commitment of the G7 leaders from June 2021 to launch a values-driven, </w:t>
      </w:r>
      <w:r w:rsidR="00F97702" w:rsidRPr="00F94478">
        <w:rPr>
          <w:sz w:val="24"/>
          <w:szCs w:val="24"/>
        </w:rPr>
        <w:t>high standard</w:t>
      </w:r>
      <w:r w:rsidRPr="00F94478">
        <w:rPr>
          <w:sz w:val="24"/>
          <w:szCs w:val="24"/>
        </w:rPr>
        <w:t xml:space="preserve"> and transparent infrastructure partnership to meet global infrastructure development needs. The Global Gateway is also fully aligned with the UN Agenda 2030 and its Sustainable Development Goals</w:t>
      </w:r>
      <w:r w:rsidR="00974D62">
        <w:rPr>
          <w:sz w:val="24"/>
          <w:szCs w:val="24"/>
        </w:rPr>
        <w:t xml:space="preserve"> (SDGs)</w:t>
      </w:r>
      <w:r w:rsidRPr="00F94478">
        <w:rPr>
          <w:sz w:val="24"/>
          <w:szCs w:val="24"/>
        </w:rPr>
        <w:t>, as well as the Paris Agreement.</w:t>
      </w:r>
      <w:r>
        <w:rPr>
          <w:rStyle w:val="FootnoteReference"/>
          <w:sz w:val="24"/>
          <w:szCs w:val="24"/>
        </w:rPr>
        <w:footnoteReference w:id="1"/>
      </w:r>
    </w:p>
    <w:p w:rsidR="008C7FD6" w:rsidRDefault="008C7FD6" w:rsidP="008C7FD6">
      <w:pPr>
        <w:pStyle w:val="BodyText"/>
        <w:spacing w:before="60" w:line="247" w:lineRule="auto"/>
        <w:jc w:val="both"/>
        <w:rPr>
          <w:sz w:val="24"/>
          <w:szCs w:val="24"/>
        </w:rPr>
      </w:pPr>
      <w:r w:rsidRPr="001F0D14">
        <w:rPr>
          <w:sz w:val="24"/>
          <w:szCs w:val="24"/>
        </w:rPr>
        <w:t>Japan is a key partner and proactive advocate of</w:t>
      </w:r>
      <w:r w:rsidR="00593E78">
        <w:rPr>
          <w:sz w:val="24"/>
          <w:szCs w:val="24"/>
        </w:rPr>
        <w:t xml:space="preserve"> global</w:t>
      </w:r>
      <w:r w:rsidRPr="001F0D14">
        <w:rPr>
          <w:sz w:val="24"/>
          <w:szCs w:val="24"/>
        </w:rPr>
        <w:t xml:space="preserve"> connectivity initiatives.</w:t>
      </w:r>
      <w:r w:rsidR="00593E78">
        <w:rPr>
          <w:sz w:val="24"/>
          <w:szCs w:val="24"/>
        </w:rPr>
        <w:t xml:space="preserve"> </w:t>
      </w:r>
      <w:r w:rsidR="00974D62">
        <w:rPr>
          <w:sz w:val="24"/>
          <w:szCs w:val="24"/>
        </w:rPr>
        <w:t xml:space="preserve">The </w:t>
      </w:r>
      <w:r w:rsidR="00593E78">
        <w:rPr>
          <w:sz w:val="24"/>
          <w:szCs w:val="24"/>
        </w:rPr>
        <w:t>EU</w:t>
      </w:r>
      <w:r w:rsidRPr="001F0D14">
        <w:rPr>
          <w:sz w:val="24"/>
          <w:szCs w:val="24"/>
        </w:rPr>
        <w:t xml:space="preserve"> Global Gateway </w:t>
      </w:r>
      <w:r>
        <w:rPr>
          <w:sz w:val="24"/>
          <w:szCs w:val="24"/>
        </w:rPr>
        <w:t xml:space="preserve">context and the joint framework provided by the G7 </w:t>
      </w:r>
      <w:r w:rsidR="00974D62">
        <w:rPr>
          <w:sz w:val="24"/>
          <w:szCs w:val="24"/>
        </w:rPr>
        <w:t>“</w:t>
      </w:r>
      <w:r>
        <w:rPr>
          <w:sz w:val="24"/>
          <w:szCs w:val="24"/>
        </w:rPr>
        <w:t>Build Back Better</w:t>
      </w:r>
      <w:r w:rsidR="00974D62">
        <w:rPr>
          <w:sz w:val="24"/>
          <w:szCs w:val="24"/>
        </w:rPr>
        <w:t>”</w:t>
      </w:r>
      <w:r>
        <w:rPr>
          <w:sz w:val="24"/>
          <w:szCs w:val="24"/>
        </w:rPr>
        <w:t xml:space="preserve"> World initiative </w:t>
      </w:r>
      <w:r w:rsidRPr="001F0D14">
        <w:rPr>
          <w:sz w:val="24"/>
          <w:szCs w:val="24"/>
        </w:rPr>
        <w:t>help</w:t>
      </w:r>
      <w:r w:rsidR="00974D62">
        <w:rPr>
          <w:sz w:val="24"/>
          <w:szCs w:val="24"/>
        </w:rPr>
        <w:t>s</w:t>
      </w:r>
      <w:r w:rsidRPr="001F0D14">
        <w:rPr>
          <w:sz w:val="24"/>
          <w:szCs w:val="24"/>
        </w:rPr>
        <w:t xml:space="preserve"> the EU and Japan achiev</w:t>
      </w:r>
      <w:r w:rsidR="00974D62">
        <w:rPr>
          <w:sz w:val="24"/>
          <w:szCs w:val="24"/>
        </w:rPr>
        <w:t>ing</w:t>
      </w:r>
      <w:r w:rsidRPr="001F0D14">
        <w:rPr>
          <w:sz w:val="24"/>
          <w:szCs w:val="24"/>
        </w:rPr>
        <w:t xml:space="preserve"> their normative approach to connectivity standards globally. </w:t>
      </w:r>
      <w:r w:rsidR="00974D62">
        <w:rPr>
          <w:sz w:val="24"/>
          <w:szCs w:val="24"/>
        </w:rPr>
        <w:t xml:space="preserve">The </w:t>
      </w:r>
      <w:r w:rsidR="005F4A59">
        <w:rPr>
          <w:sz w:val="24"/>
          <w:szCs w:val="24"/>
        </w:rPr>
        <w:t xml:space="preserve">EU-Japan Joint Study on Connectivity Cooperation in the Western Balkans, Eastern Partnership countries and Central Asia </w:t>
      </w:r>
      <w:r w:rsidR="00974D62">
        <w:rPr>
          <w:sz w:val="24"/>
          <w:szCs w:val="24"/>
        </w:rPr>
        <w:t xml:space="preserve">of November 2021, </w:t>
      </w:r>
      <w:r w:rsidR="005F4A59">
        <w:rPr>
          <w:sz w:val="24"/>
          <w:szCs w:val="24"/>
        </w:rPr>
        <w:t xml:space="preserve">examines in detail </w:t>
      </w:r>
      <w:r w:rsidR="00974D62">
        <w:rPr>
          <w:sz w:val="24"/>
          <w:szCs w:val="24"/>
        </w:rPr>
        <w:t xml:space="preserve">the </w:t>
      </w:r>
      <w:r w:rsidR="005F4A59">
        <w:rPr>
          <w:sz w:val="24"/>
          <w:szCs w:val="24"/>
        </w:rPr>
        <w:t xml:space="preserve">areas of potential cooperation within EU Global Gateway framework. </w:t>
      </w:r>
      <w:r w:rsidR="00C10C18">
        <w:rPr>
          <w:sz w:val="24"/>
          <w:szCs w:val="24"/>
        </w:rPr>
        <w:t>Among them</w:t>
      </w:r>
      <w:r w:rsidR="00974D62">
        <w:rPr>
          <w:sz w:val="24"/>
          <w:szCs w:val="24"/>
        </w:rPr>
        <w:t>,</w:t>
      </w:r>
      <w:r w:rsidR="002F55D8">
        <w:rPr>
          <w:sz w:val="24"/>
          <w:szCs w:val="24"/>
        </w:rPr>
        <w:t xml:space="preserve"> s</w:t>
      </w:r>
      <w:r w:rsidR="005F4A59">
        <w:rPr>
          <w:sz w:val="24"/>
          <w:szCs w:val="24"/>
        </w:rPr>
        <w:t xml:space="preserve">uch as “Peace Routes”, “Green Energy Corridors” </w:t>
      </w:r>
      <w:r w:rsidR="002F55D8">
        <w:rPr>
          <w:sz w:val="24"/>
          <w:szCs w:val="24"/>
        </w:rPr>
        <w:t>or</w:t>
      </w:r>
      <w:r w:rsidR="005F4A59">
        <w:rPr>
          <w:sz w:val="24"/>
          <w:szCs w:val="24"/>
        </w:rPr>
        <w:t xml:space="preserve"> “EU-Japan Digital Trust”. </w:t>
      </w:r>
    </w:p>
    <w:p w:rsidR="00EB030A" w:rsidRDefault="00593E78" w:rsidP="00EB030A">
      <w:pPr>
        <w:jc w:val="both"/>
        <w:rPr>
          <w:sz w:val="24"/>
          <w:szCs w:val="24"/>
          <w:lang w:val="lt-LT" w:eastAsia="lt-LT"/>
        </w:rPr>
      </w:pPr>
      <w:r w:rsidRPr="007D4D0B">
        <w:rPr>
          <w:sz w:val="24"/>
          <w:szCs w:val="24"/>
        </w:rPr>
        <w:t>Other connectivity</w:t>
      </w:r>
      <w:r w:rsidR="005D4658" w:rsidRPr="007D4D0B">
        <w:rPr>
          <w:sz w:val="24"/>
          <w:szCs w:val="24"/>
        </w:rPr>
        <w:t xml:space="preserve"> platforms</w:t>
      </w:r>
      <w:r w:rsidRPr="007D4D0B">
        <w:rPr>
          <w:sz w:val="24"/>
          <w:szCs w:val="24"/>
        </w:rPr>
        <w:t>, of more regional nature</w:t>
      </w:r>
      <w:r w:rsidR="005D4658" w:rsidRPr="007D4D0B">
        <w:rPr>
          <w:sz w:val="24"/>
          <w:szCs w:val="24"/>
        </w:rPr>
        <w:t>, such a</w:t>
      </w:r>
      <w:r w:rsidRPr="007D4D0B">
        <w:rPr>
          <w:sz w:val="24"/>
          <w:szCs w:val="24"/>
        </w:rPr>
        <w:t>s</w:t>
      </w:r>
      <w:r w:rsidR="007D4D0B" w:rsidRPr="007D4D0B">
        <w:rPr>
          <w:sz w:val="24"/>
          <w:szCs w:val="24"/>
        </w:rPr>
        <w:t xml:space="preserve"> </w:t>
      </w:r>
      <w:r w:rsidR="00974D62">
        <w:rPr>
          <w:sz w:val="24"/>
          <w:szCs w:val="24"/>
        </w:rPr>
        <w:t xml:space="preserve">the </w:t>
      </w:r>
      <w:r w:rsidR="007D4D0B" w:rsidRPr="007D4D0B">
        <w:rPr>
          <w:sz w:val="24"/>
          <w:szCs w:val="24"/>
        </w:rPr>
        <w:t>3SI</w:t>
      </w:r>
      <w:r w:rsidR="00974D62">
        <w:rPr>
          <w:sz w:val="24"/>
          <w:szCs w:val="24"/>
        </w:rPr>
        <w:t>,</w:t>
      </w:r>
      <w:r w:rsidRPr="007D4D0B">
        <w:rPr>
          <w:sz w:val="24"/>
          <w:szCs w:val="24"/>
        </w:rPr>
        <w:t xml:space="preserve"> </w:t>
      </w:r>
      <w:r w:rsidR="005D4658" w:rsidRPr="007D4D0B">
        <w:rPr>
          <w:sz w:val="24"/>
          <w:szCs w:val="24"/>
        </w:rPr>
        <w:t xml:space="preserve">also play an important role in </w:t>
      </w:r>
      <w:r w:rsidRPr="007D4D0B">
        <w:rPr>
          <w:sz w:val="24"/>
          <w:szCs w:val="24"/>
        </w:rPr>
        <w:t>matching</w:t>
      </w:r>
      <w:r w:rsidR="005D4658" w:rsidRPr="007D4D0B">
        <w:rPr>
          <w:sz w:val="24"/>
          <w:szCs w:val="24"/>
        </w:rPr>
        <w:t xml:space="preserve"> intra-</w:t>
      </w:r>
      <w:r w:rsidR="005F4A59">
        <w:rPr>
          <w:sz w:val="24"/>
          <w:szCs w:val="24"/>
        </w:rPr>
        <w:t>E</w:t>
      </w:r>
      <w:r w:rsidR="005D4658" w:rsidRPr="007D4D0B">
        <w:rPr>
          <w:sz w:val="24"/>
          <w:szCs w:val="24"/>
        </w:rPr>
        <w:t xml:space="preserve">uropean connectivity efforts with the </w:t>
      </w:r>
      <w:r w:rsidR="00F97702" w:rsidRPr="007D4D0B">
        <w:rPr>
          <w:sz w:val="24"/>
          <w:szCs w:val="24"/>
        </w:rPr>
        <w:t>aim</w:t>
      </w:r>
      <w:r w:rsidRPr="007D4D0B">
        <w:rPr>
          <w:sz w:val="24"/>
          <w:szCs w:val="24"/>
        </w:rPr>
        <w:t xml:space="preserve"> </w:t>
      </w:r>
      <w:r w:rsidR="00974D62">
        <w:rPr>
          <w:sz w:val="24"/>
          <w:szCs w:val="24"/>
        </w:rPr>
        <w:t>of</w:t>
      </w:r>
      <w:r w:rsidRPr="007D4D0B">
        <w:rPr>
          <w:sz w:val="24"/>
          <w:szCs w:val="24"/>
        </w:rPr>
        <w:t xml:space="preserve"> improv</w:t>
      </w:r>
      <w:r w:rsidR="00974D62">
        <w:rPr>
          <w:sz w:val="24"/>
          <w:szCs w:val="24"/>
        </w:rPr>
        <w:t>ing</w:t>
      </w:r>
      <w:r w:rsidRPr="007D4D0B">
        <w:rPr>
          <w:sz w:val="24"/>
          <w:szCs w:val="24"/>
        </w:rPr>
        <w:t xml:space="preserve"> connectivity and infrastructure in the neighbouring countries willing to</w:t>
      </w:r>
      <w:r w:rsidR="00F97702" w:rsidRPr="007D4D0B">
        <w:rPr>
          <w:sz w:val="24"/>
          <w:szCs w:val="24"/>
        </w:rPr>
        <w:t xml:space="preserve"> do so.</w:t>
      </w:r>
      <w:r w:rsidR="00EB030A" w:rsidRPr="007D4D0B">
        <w:rPr>
          <w:sz w:val="24"/>
          <w:szCs w:val="24"/>
          <w:lang w:val="en"/>
        </w:rPr>
        <w:t xml:space="preserve"> </w:t>
      </w:r>
      <w:r w:rsidR="005F4A59" w:rsidRPr="005F4A59">
        <w:rPr>
          <w:sz w:val="24"/>
          <w:szCs w:val="24"/>
          <w:lang w:val="en"/>
        </w:rPr>
        <w:t>The United States ha</w:t>
      </w:r>
      <w:r w:rsidR="00974D62">
        <w:rPr>
          <w:sz w:val="24"/>
          <w:szCs w:val="24"/>
          <w:lang w:val="en"/>
        </w:rPr>
        <w:t>ve</w:t>
      </w:r>
      <w:r w:rsidR="005F4A59" w:rsidRPr="005F4A59">
        <w:rPr>
          <w:sz w:val="24"/>
          <w:szCs w:val="24"/>
          <w:lang w:val="en"/>
        </w:rPr>
        <w:t xml:space="preserve"> been strong supporter of the </w:t>
      </w:r>
      <w:r w:rsidR="00974D62">
        <w:rPr>
          <w:sz w:val="24"/>
          <w:szCs w:val="24"/>
          <w:lang w:val="en"/>
        </w:rPr>
        <w:t>3SI</w:t>
      </w:r>
      <w:r w:rsidR="002F55D8">
        <w:rPr>
          <w:sz w:val="24"/>
          <w:szCs w:val="24"/>
          <w:lang w:val="en"/>
        </w:rPr>
        <w:t xml:space="preserve"> from </w:t>
      </w:r>
      <w:r w:rsidR="00974D62">
        <w:rPr>
          <w:sz w:val="24"/>
          <w:szCs w:val="24"/>
          <w:lang w:val="en"/>
        </w:rPr>
        <w:t xml:space="preserve">its </w:t>
      </w:r>
      <w:r w:rsidR="002F55D8">
        <w:rPr>
          <w:sz w:val="24"/>
          <w:szCs w:val="24"/>
          <w:lang w:val="en"/>
        </w:rPr>
        <w:t>start and</w:t>
      </w:r>
      <w:r w:rsidR="005F4A59" w:rsidRPr="005F4A59">
        <w:rPr>
          <w:sz w:val="24"/>
          <w:szCs w:val="24"/>
          <w:lang w:val="en"/>
        </w:rPr>
        <w:t xml:space="preserve"> </w:t>
      </w:r>
      <w:r w:rsidR="00974D62">
        <w:rPr>
          <w:sz w:val="24"/>
          <w:szCs w:val="24"/>
          <w:lang w:val="en"/>
        </w:rPr>
        <w:t>share</w:t>
      </w:r>
      <w:r w:rsidR="005F4A59" w:rsidRPr="005F4A59">
        <w:rPr>
          <w:sz w:val="24"/>
          <w:szCs w:val="24"/>
          <w:lang w:val="en"/>
        </w:rPr>
        <w:t xml:space="preserve"> m</w:t>
      </w:r>
      <w:r w:rsidR="00974D62">
        <w:rPr>
          <w:sz w:val="24"/>
          <w:szCs w:val="24"/>
          <w:lang w:val="en"/>
        </w:rPr>
        <w:t>ost</w:t>
      </w:r>
      <w:r w:rsidR="005F4A59" w:rsidRPr="005F4A59">
        <w:rPr>
          <w:sz w:val="24"/>
          <w:szCs w:val="24"/>
          <w:lang w:val="en"/>
        </w:rPr>
        <w:t xml:space="preserve"> of </w:t>
      </w:r>
      <w:r w:rsidR="005F4A59">
        <w:rPr>
          <w:sz w:val="24"/>
          <w:szCs w:val="24"/>
          <w:lang w:val="en"/>
        </w:rPr>
        <w:t>its</w:t>
      </w:r>
      <w:r w:rsidR="005F4A59" w:rsidRPr="005F4A59">
        <w:rPr>
          <w:sz w:val="24"/>
          <w:szCs w:val="24"/>
          <w:lang w:val="en"/>
        </w:rPr>
        <w:t xml:space="preserve"> priorities.</w:t>
      </w:r>
      <w:r w:rsidR="005F4A59">
        <w:rPr>
          <w:sz w:val="24"/>
          <w:szCs w:val="24"/>
          <w:lang w:val="en"/>
        </w:rPr>
        <w:t xml:space="preserve"> </w:t>
      </w:r>
      <w:r w:rsidR="00EB030A" w:rsidRPr="007D4D0B">
        <w:rPr>
          <w:sz w:val="24"/>
          <w:szCs w:val="24"/>
          <w:lang w:val="en"/>
        </w:rPr>
        <w:t xml:space="preserve">3SI seeks to better connect the Adriatic, Baltic and Black Sea </w:t>
      </w:r>
      <w:r w:rsidR="00974D62">
        <w:rPr>
          <w:sz w:val="24"/>
          <w:szCs w:val="24"/>
          <w:lang w:val="en"/>
        </w:rPr>
        <w:t xml:space="preserve">regions’ </w:t>
      </w:r>
      <w:r w:rsidR="00EB030A" w:rsidRPr="007D4D0B">
        <w:rPr>
          <w:sz w:val="24"/>
          <w:szCs w:val="24"/>
          <w:lang w:val="en"/>
        </w:rPr>
        <w:t xml:space="preserve">countries by strengthening cooperation and connectivity in the fields of energy security, transport infrastructure and the modern digital agenda, and by intensifying the development of the North-South transport corridor. The </w:t>
      </w:r>
      <w:r w:rsidR="00974D62">
        <w:rPr>
          <w:sz w:val="24"/>
          <w:szCs w:val="24"/>
          <w:lang w:val="en"/>
        </w:rPr>
        <w:t>3S</w:t>
      </w:r>
      <w:r w:rsidR="00EB030A" w:rsidRPr="007D4D0B">
        <w:rPr>
          <w:sz w:val="24"/>
          <w:szCs w:val="24"/>
          <w:lang w:val="en"/>
        </w:rPr>
        <w:t xml:space="preserve">I </w:t>
      </w:r>
      <w:r w:rsidR="00EB030A" w:rsidRPr="007D4D0B">
        <w:rPr>
          <w:color w:val="171717"/>
          <w:sz w:val="24"/>
          <w:szCs w:val="24"/>
          <w:lang w:val="en"/>
        </w:rPr>
        <w:t>aims to close the remaining infrastructure gaps in the 3SI region and the development gap between the 3SI region and Western part of the EU, thus completing the transformation of Central Europe, overcoming the post-Soviet legacy in this part of Europe</w:t>
      </w:r>
      <w:r w:rsidR="00EB030A" w:rsidRPr="00FD50ED">
        <w:rPr>
          <w:bCs/>
          <w:color w:val="171717"/>
          <w:sz w:val="24"/>
          <w:szCs w:val="24"/>
          <w:lang w:val="en"/>
        </w:rPr>
        <w:t>.</w:t>
      </w:r>
      <w:r w:rsidR="00EB030A" w:rsidRPr="007D4D0B">
        <w:rPr>
          <w:b/>
          <w:bCs/>
          <w:color w:val="171717"/>
          <w:sz w:val="24"/>
          <w:szCs w:val="24"/>
          <w:lang w:val="en"/>
        </w:rPr>
        <w:t xml:space="preserve"> </w:t>
      </w:r>
      <w:r w:rsidR="00EB030A" w:rsidRPr="007D4D0B">
        <w:rPr>
          <w:sz w:val="24"/>
          <w:szCs w:val="24"/>
          <w:lang w:val="en" w:eastAsia="lt-LT"/>
        </w:rPr>
        <w:t>3SI is open to expand its cooperation with the Eastern Partnership countries that adhere to the same democratic values, European and transatlantic goals and common interests, thus bringing those regions closer to the European Union by increasing infrastructure interconnections</w:t>
      </w:r>
      <w:r w:rsidR="00EB030A">
        <w:rPr>
          <w:sz w:val="24"/>
          <w:szCs w:val="24"/>
          <w:lang w:val="en" w:eastAsia="lt-LT"/>
        </w:rPr>
        <w:t>.</w:t>
      </w:r>
    </w:p>
    <w:p w:rsidR="000A3000" w:rsidRDefault="004753F9" w:rsidP="00185986">
      <w:pPr>
        <w:pStyle w:val="Heading2"/>
        <w:numPr>
          <w:ilvl w:val="0"/>
          <w:numId w:val="2"/>
        </w:numPr>
        <w:tabs>
          <w:tab w:val="left" w:pos="329"/>
        </w:tabs>
        <w:spacing w:before="60" w:after="60"/>
        <w:ind w:left="329" w:hanging="221"/>
      </w:pPr>
      <w:r>
        <w:t>Steering</w:t>
      </w:r>
      <w:r>
        <w:rPr>
          <w:spacing w:val="1"/>
        </w:rPr>
        <w:t xml:space="preserve"> </w:t>
      </w:r>
      <w:r>
        <w:t>questions</w:t>
      </w:r>
      <w:r>
        <w:rPr>
          <w:spacing w:val="2"/>
        </w:rPr>
        <w:t xml:space="preserve"> </w:t>
      </w:r>
      <w:r>
        <w:t>for</w:t>
      </w:r>
      <w:r>
        <w:rPr>
          <w:spacing w:val="2"/>
        </w:rPr>
        <w:t xml:space="preserve"> </w:t>
      </w:r>
      <w:r>
        <w:t>the</w:t>
      </w:r>
      <w:r>
        <w:rPr>
          <w:spacing w:val="2"/>
        </w:rPr>
        <w:t xml:space="preserve"> </w:t>
      </w:r>
      <w:r>
        <w:t>discussion</w:t>
      </w:r>
      <w:r>
        <w:rPr>
          <w:spacing w:val="2"/>
        </w:rPr>
        <w:t xml:space="preserve"> </w:t>
      </w:r>
      <w:r>
        <w:t>at</w:t>
      </w:r>
      <w:r>
        <w:rPr>
          <w:spacing w:val="2"/>
        </w:rPr>
        <w:t xml:space="preserve"> </w:t>
      </w:r>
      <w:r>
        <w:t>the</w:t>
      </w:r>
      <w:r>
        <w:rPr>
          <w:spacing w:val="2"/>
        </w:rPr>
        <w:t xml:space="preserve"> </w:t>
      </w:r>
      <w:r w:rsidR="00A056F5">
        <w:rPr>
          <w:spacing w:val="2"/>
        </w:rPr>
        <w:t xml:space="preserve">EaP </w:t>
      </w:r>
      <w:r w:rsidR="00C019CB">
        <w:rPr>
          <w:spacing w:val="2"/>
        </w:rPr>
        <w:t>Connectivity seminar</w:t>
      </w:r>
      <w:r>
        <w:rPr>
          <w:spacing w:val="3"/>
        </w:rPr>
        <w:t xml:space="preserve"> </w:t>
      </w:r>
      <w:r>
        <w:t>on</w:t>
      </w:r>
      <w:r>
        <w:rPr>
          <w:spacing w:val="2"/>
        </w:rPr>
        <w:t xml:space="preserve"> </w:t>
      </w:r>
      <w:r w:rsidR="00E63B22">
        <w:t>19</w:t>
      </w:r>
      <w:r w:rsidR="003D0922">
        <w:t xml:space="preserve"> </w:t>
      </w:r>
      <w:r>
        <w:t>October</w:t>
      </w:r>
      <w:r>
        <w:rPr>
          <w:spacing w:val="2"/>
        </w:rPr>
        <w:t xml:space="preserve"> </w:t>
      </w:r>
      <w:r>
        <w:t>20</w:t>
      </w:r>
      <w:r w:rsidR="00C019CB">
        <w:t>22</w:t>
      </w:r>
      <w:r>
        <w:t>:</w:t>
      </w:r>
    </w:p>
    <w:p w:rsidR="000A3000" w:rsidRDefault="004753F9" w:rsidP="008268B7">
      <w:pPr>
        <w:pStyle w:val="BodyText"/>
        <w:spacing w:before="60" w:line="247" w:lineRule="auto"/>
        <w:jc w:val="both"/>
        <w:rPr>
          <w:sz w:val="24"/>
        </w:rPr>
      </w:pPr>
      <w:r w:rsidRPr="005C2FFE">
        <w:rPr>
          <w:sz w:val="24"/>
        </w:rPr>
        <w:t xml:space="preserve">We invite all participants of the </w:t>
      </w:r>
      <w:r w:rsidR="005D4658">
        <w:rPr>
          <w:sz w:val="24"/>
        </w:rPr>
        <w:t xml:space="preserve">EaP </w:t>
      </w:r>
      <w:r w:rsidR="005C2FFE" w:rsidRPr="005C2FFE">
        <w:rPr>
          <w:sz w:val="24"/>
        </w:rPr>
        <w:t>Connectivity</w:t>
      </w:r>
      <w:r w:rsidRPr="005C2FFE">
        <w:rPr>
          <w:sz w:val="24"/>
        </w:rPr>
        <w:t xml:space="preserve"> </w:t>
      </w:r>
      <w:r w:rsidR="008A33DD">
        <w:rPr>
          <w:sz w:val="24"/>
        </w:rPr>
        <w:t>seminar</w:t>
      </w:r>
      <w:r w:rsidR="005D4658">
        <w:rPr>
          <w:sz w:val="24"/>
        </w:rPr>
        <w:t xml:space="preserve"> </w:t>
      </w:r>
      <w:r w:rsidRPr="005C2FFE">
        <w:rPr>
          <w:sz w:val="24"/>
        </w:rPr>
        <w:t>to contribute</w:t>
      </w:r>
      <w:r w:rsidR="005D4658">
        <w:rPr>
          <w:sz w:val="24"/>
        </w:rPr>
        <w:t>, from their respective national perspective,</w:t>
      </w:r>
      <w:r w:rsidRPr="005C2FFE">
        <w:rPr>
          <w:sz w:val="24"/>
        </w:rPr>
        <w:t xml:space="preserve"> to the</w:t>
      </w:r>
      <w:r w:rsidRPr="005C2FFE">
        <w:rPr>
          <w:spacing w:val="1"/>
          <w:sz w:val="24"/>
        </w:rPr>
        <w:t xml:space="preserve"> </w:t>
      </w:r>
      <w:r w:rsidRPr="005C2FFE">
        <w:rPr>
          <w:sz w:val="24"/>
        </w:rPr>
        <w:t>discussion in a</w:t>
      </w:r>
      <w:r w:rsidR="006D21BF">
        <w:rPr>
          <w:sz w:val="24"/>
        </w:rPr>
        <w:t>n effective and focused manner:</w:t>
      </w:r>
    </w:p>
    <w:p w:rsidR="008D55CC" w:rsidRDefault="006D21BF">
      <w:pPr>
        <w:pStyle w:val="ListParagraph"/>
        <w:numPr>
          <w:ilvl w:val="0"/>
          <w:numId w:val="1"/>
        </w:numPr>
        <w:tabs>
          <w:tab w:val="left" w:pos="389"/>
        </w:tabs>
        <w:spacing w:line="244" w:lineRule="auto"/>
        <w:ind w:left="388" w:right="121" w:hanging="284"/>
        <w:rPr>
          <w:i/>
        </w:rPr>
      </w:pPr>
      <w:r>
        <w:rPr>
          <w:i/>
        </w:rPr>
        <w:t xml:space="preserve">What would be the main benefits of EU Global Gateway’s connectivity for the EaP countries? </w:t>
      </w:r>
      <w:r w:rsidR="008D55CC">
        <w:rPr>
          <w:i/>
        </w:rPr>
        <w:t>What EaP</w:t>
      </w:r>
      <w:r w:rsidR="00F97702">
        <w:rPr>
          <w:i/>
        </w:rPr>
        <w:t xml:space="preserve"> flagship projects in all the main areas of c</w:t>
      </w:r>
      <w:r w:rsidR="008D55CC">
        <w:rPr>
          <w:i/>
        </w:rPr>
        <w:t>onnectivity are of particular importance</w:t>
      </w:r>
      <w:r w:rsidR="00F97702">
        <w:rPr>
          <w:i/>
        </w:rPr>
        <w:t xml:space="preserve"> to your country</w:t>
      </w:r>
      <w:r w:rsidR="008D55CC">
        <w:rPr>
          <w:i/>
        </w:rPr>
        <w:t xml:space="preserve">? What else should be taken into account? How </w:t>
      </w:r>
      <w:r w:rsidR="00F97702">
        <w:rPr>
          <w:i/>
        </w:rPr>
        <w:t>strategic EU partners</w:t>
      </w:r>
      <w:r w:rsidR="008D55CC">
        <w:rPr>
          <w:i/>
        </w:rPr>
        <w:t xml:space="preserve"> </w:t>
      </w:r>
      <w:r w:rsidR="00F97702">
        <w:rPr>
          <w:i/>
        </w:rPr>
        <w:t>such as</w:t>
      </w:r>
      <w:r w:rsidR="008D55CC">
        <w:rPr>
          <w:i/>
        </w:rPr>
        <w:t xml:space="preserve"> Japan, could take part in them making cooperation mutually beneficial? </w:t>
      </w:r>
    </w:p>
    <w:p w:rsidR="008D55CC" w:rsidRDefault="008D55CC">
      <w:pPr>
        <w:pStyle w:val="ListParagraph"/>
        <w:numPr>
          <w:ilvl w:val="0"/>
          <w:numId w:val="1"/>
        </w:numPr>
        <w:tabs>
          <w:tab w:val="left" w:pos="389"/>
        </w:tabs>
        <w:spacing w:line="244" w:lineRule="auto"/>
        <w:ind w:left="388" w:right="121" w:hanging="284"/>
        <w:rPr>
          <w:i/>
        </w:rPr>
      </w:pPr>
      <w:r>
        <w:rPr>
          <w:i/>
        </w:rPr>
        <w:t xml:space="preserve">How </w:t>
      </w:r>
      <w:r w:rsidR="006D21BF">
        <w:rPr>
          <w:i/>
        </w:rPr>
        <w:t xml:space="preserve">the </w:t>
      </w:r>
      <w:r>
        <w:rPr>
          <w:i/>
        </w:rPr>
        <w:t>EU and its Member States could and should contribute to rebuilding transport infrastructure of Ukraine post-war. Should E</w:t>
      </w:r>
      <w:r w:rsidR="004814EE">
        <w:rPr>
          <w:i/>
        </w:rPr>
        <w:t>U</w:t>
      </w:r>
      <w:r>
        <w:rPr>
          <w:i/>
        </w:rPr>
        <w:t xml:space="preserve"> contribution be within timeframe of 2021-2027 or within-and-beyond? </w:t>
      </w:r>
    </w:p>
    <w:p w:rsidR="008268B7" w:rsidRDefault="004814EE" w:rsidP="00977977">
      <w:pPr>
        <w:pStyle w:val="ListParagraph"/>
        <w:numPr>
          <w:ilvl w:val="0"/>
          <w:numId w:val="1"/>
        </w:numPr>
        <w:tabs>
          <w:tab w:val="left" w:pos="389"/>
        </w:tabs>
        <w:spacing w:line="244" w:lineRule="auto"/>
        <w:ind w:left="388" w:right="121" w:hanging="284"/>
        <w:rPr>
          <w:i/>
        </w:rPr>
      </w:pPr>
      <w:r w:rsidRPr="006D21BF">
        <w:rPr>
          <w:i/>
        </w:rPr>
        <w:t>What would be</w:t>
      </w:r>
      <w:r w:rsidR="008268B7" w:rsidRPr="006D21BF">
        <w:rPr>
          <w:i/>
        </w:rPr>
        <w:t xml:space="preserve"> </w:t>
      </w:r>
      <w:r w:rsidR="007D4D0B" w:rsidRPr="006D21BF">
        <w:rPr>
          <w:i/>
        </w:rPr>
        <w:t>c</w:t>
      </w:r>
      <w:r w:rsidR="008268B7" w:rsidRPr="006D21BF">
        <w:rPr>
          <w:i/>
        </w:rPr>
        <w:t xml:space="preserve">onnectivity areas where </w:t>
      </w:r>
      <w:r w:rsidRPr="006D21BF">
        <w:rPr>
          <w:i/>
        </w:rPr>
        <w:t xml:space="preserve">future </w:t>
      </w:r>
      <w:r w:rsidR="008268B7" w:rsidRPr="006D21BF">
        <w:rPr>
          <w:i/>
        </w:rPr>
        <w:t xml:space="preserve">projects involving more than one EaP country would bring certain benefits? </w:t>
      </w:r>
      <w:r w:rsidR="006D21BF" w:rsidRPr="006D21BF">
        <w:rPr>
          <w:i/>
        </w:rPr>
        <w:t xml:space="preserve">What indicators should be considered as of key-importance to identify progress achieved? </w:t>
      </w:r>
    </w:p>
    <w:p w:rsidR="007E65F6" w:rsidRPr="007E65F6" w:rsidRDefault="007E65F6" w:rsidP="007E65F6">
      <w:pPr>
        <w:pStyle w:val="ListParagraph"/>
        <w:tabs>
          <w:tab w:val="left" w:pos="389"/>
        </w:tabs>
        <w:spacing w:line="244" w:lineRule="auto"/>
        <w:ind w:left="388" w:right="121" w:firstLine="0"/>
        <w:rPr>
          <w:i/>
          <w:sz w:val="6"/>
          <w:szCs w:val="6"/>
        </w:rPr>
      </w:pPr>
    </w:p>
    <w:p w:rsidR="00337F35" w:rsidRDefault="007E65F6" w:rsidP="00337F35">
      <w:pPr>
        <w:rPr>
          <w:lang w:val="en-US"/>
        </w:rPr>
      </w:pPr>
      <w:r>
        <w:rPr>
          <w:b/>
          <w:i/>
          <w:u w:val="single"/>
        </w:rPr>
        <w:t>R</w:t>
      </w:r>
      <w:r w:rsidR="006D21BF" w:rsidRPr="006D21BF">
        <w:rPr>
          <w:b/>
          <w:i/>
          <w:u w:val="single"/>
        </w:rPr>
        <w:t xml:space="preserve">egistration by </w:t>
      </w:r>
      <w:r w:rsidR="00337F35">
        <w:rPr>
          <w:b/>
          <w:i/>
          <w:u w:val="single"/>
        </w:rPr>
        <w:t>30</w:t>
      </w:r>
      <w:r w:rsidR="00337F35">
        <w:rPr>
          <w:b/>
          <w:i/>
          <w:u w:val="single"/>
          <w:vertAlign w:val="superscript"/>
        </w:rPr>
        <w:t>th</w:t>
      </w:r>
      <w:r w:rsidR="006D21BF" w:rsidRPr="006D21BF">
        <w:rPr>
          <w:b/>
          <w:i/>
          <w:u w:val="single"/>
        </w:rPr>
        <w:t xml:space="preserve"> </w:t>
      </w:r>
      <w:r w:rsidR="00337F35">
        <w:rPr>
          <w:b/>
          <w:i/>
          <w:u w:val="single"/>
        </w:rPr>
        <w:t>September</w:t>
      </w:r>
      <w:r w:rsidR="006D21BF" w:rsidRPr="006D21BF">
        <w:rPr>
          <w:b/>
          <w:i/>
          <w:u w:val="single"/>
        </w:rPr>
        <w:t xml:space="preserve"> </w:t>
      </w:r>
      <w:r w:rsidR="00337F35">
        <w:rPr>
          <w:b/>
          <w:i/>
          <w:u w:val="single"/>
        </w:rPr>
        <w:t xml:space="preserve">via </w:t>
      </w:r>
      <w:r>
        <w:rPr>
          <w:b/>
          <w:i/>
          <w:u w:val="single"/>
        </w:rPr>
        <w:t xml:space="preserve">online </w:t>
      </w:r>
      <w:r w:rsidR="00337F35">
        <w:rPr>
          <w:b/>
          <w:i/>
          <w:u w:val="single"/>
        </w:rPr>
        <w:t>link</w:t>
      </w:r>
      <w:r w:rsidR="006D21BF" w:rsidRPr="006D21BF">
        <w:rPr>
          <w:b/>
          <w:i/>
          <w:u w:val="single"/>
        </w:rPr>
        <w:t>:</w:t>
      </w:r>
      <w:r w:rsidR="006D21BF" w:rsidRPr="006D21BF">
        <w:rPr>
          <w:b/>
          <w:i/>
        </w:rPr>
        <w:t xml:space="preserve"> </w:t>
      </w:r>
      <w:bookmarkStart w:id="0" w:name="_GoBack"/>
      <w:bookmarkEnd w:id="0"/>
      <w:r w:rsidR="00D12F0A" w:rsidRPr="00784AD1">
        <w:fldChar w:fldCharType="begin"/>
      </w:r>
      <w:r w:rsidR="00D12F0A" w:rsidRPr="00784AD1">
        <w:instrText xml:space="preserve"> HYPERLINK "https://www.eap-events.eu/connectivity-panel" </w:instrText>
      </w:r>
      <w:r w:rsidR="00D12F0A" w:rsidRPr="00784AD1">
        <w:fldChar w:fldCharType="separate"/>
      </w:r>
      <w:r w:rsidR="00337F35" w:rsidRPr="00784AD1">
        <w:rPr>
          <w:rStyle w:val="Hyperlink"/>
          <w:lang w:val="en-US"/>
        </w:rPr>
        <w:t>https://www.eap-events.eu/connectivity-panel</w:t>
      </w:r>
      <w:r w:rsidR="00D12F0A" w:rsidRPr="00784AD1">
        <w:rPr>
          <w:rStyle w:val="Hyperlink"/>
          <w:lang w:val="en-US"/>
        </w:rPr>
        <w:fldChar w:fldCharType="end"/>
      </w:r>
    </w:p>
    <w:p w:rsidR="007E65F6" w:rsidRPr="007E65F6" w:rsidRDefault="007E65F6" w:rsidP="00337F35">
      <w:pPr>
        <w:rPr>
          <w:sz w:val="6"/>
          <w:szCs w:val="6"/>
          <w:lang w:val="en-US"/>
        </w:rPr>
      </w:pPr>
    </w:p>
    <w:p w:rsidR="006D21BF" w:rsidRPr="006D21BF" w:rsidRDefault="006D21BF" w:rsidP="006D21BF">
      <w:pPr>
        <w:tabs>
          <w:tab w:val="left" w:pos="389"/>
        </w:tabs>
        <w:spacing w:line="244" w:lineRule="auto"/>
        <w:ind w:right="121"/>
        <w:rPr>
          <w:b/>
          <w:i/>
        </w:rPr>
      </w:pPr>
      <w:r w:rsidRPr="006D21BF">
        <w:rPr>
          <w:b/>
          <w:i/>
        </w:rPr>
        <w:t>The Ministry of Foreign Affairs of the Republic of Lithuania</w:t>
      </w:r>
    </w:p>
    <w:p w:rsidR="006D21BF" w:rsidRDefault="006D21BF" w:rsidP="006D21BF">
      <w:pPr>
        <w:tabs>
          <w:tab w:val="left" w:pos="389"/>
        </w:tabs>
        <w:spacing w:line="244" w:lineRule="auto"/>
        <w:ind w:right="121"/>
        <w:rPr>
          <w:i/>
        </w:rPr>
      </w:pPr>
      <w:r>
        <w:rPr>
          <w:i/>
        </w:rPr>
        <w:t>Eastern Neighbourhood Policy Department</w:t>
      </w:r>
    </w:p>
    <w:p w:rsidR="007E65F6" w:rsidRPr="007E65F6" w:rsidRDefault="00784AD1" w:rsidP="006D21BF">
      <w:pPr>
        <w:tabs>
          <w:tab w:val="left" w:pos="389"/>
        </w:tabs>
        <w:spacing w:line="244" w:lineRule="auto"/>
        <w:ind w:right="121"/>
        <w:rPr>
          <w:i/>
          <w:lang w:val="en-US"/>
        </w:rPr>
      </w:pPr>
      <w:hyperlink r:id="rId9" w:history="1">
        <w:r w:rsidR="007E65F6" w:rsidRPr="00CD6666">
          <w:rPr>
            <w:rStyle w:val="Hyperlink"/>
            <w:i/>
          </w:rPr>
          <w:t>rps</w:t>
        </w:r>
        <w:r w:rsidR="007E65F6" w:rsidRPr="00CD6666">
          <w:rPr>
            <w:rStyle w:val="Hyperlink"/>
            <w:i/>
            <w:lang w:val="en-US"/>
          </w:rPr>
          <w:t>@urm.lt</w:t>
        </w:r>
      </w:hyperlink>
      <w:r w:rsidR="007E65F6">
        <w:rPr>
          <w:i/>
          <w:lang w:val="en-US"/>
        </w:rPr>
        <w:t xml:space="preserve"> </w:t>
      </w:r>
    </w:p>
    <w:sectPr w:rsidR="007E65F6" w:rsidRPr="007E65F6" w:rsidSect="00774992">
      <w:headerReference w:type="default" r:id="rId10"/>
      <w:footerReference w:type="default" r:id="rId11"/>
      <w:pgSz w:w="11910" w:h="16840"/>
      <w:pgMar w:top="1440" w:right="1440" w:bottom="1440" w:left="1440" w:header="0" w:footer="12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AF5" w:rsidRDefault="00412AF5">
      <w:r>
        <w:separator/>
      </w:r>
    </w:p>
  </w:endnote>
  <w:endnote w:type="continuationSeparator" w:id="0">
    <w:p w:rsidR="00412AF5" w:rsidRDefault="00412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260873"/>
      <w:docPartObj>
        <w:docPartGallery w:val="Page Numbers (Bottom of Page)"/>
        <w:docPartUnique/>
      </w:docPartObj>
    </w:sdtPr>
    <w:sdtEndPr>
      <w:rPr>
        <w:noProof/>
      </w:rPr>
    </w:sdtEndPr>
    <w:sdtContent>
      <w:p w:rsidR="005C2FFE" w:rsidRDefault="005C2FFE" w:rsidP="005C2FFE">
        <w:pPr>
          <w:pStyle w:val="Footer"/>
          <w:jc w:val="center"/>
        </w:pPr>
        <w:r>
          <w:fldChar w:fldCharType="begin"/>
        </w:r>
        <w:r>
          <w:instrText xml:space="preserve"> PAGE   \* MERGEFORMAT </w:instrText>
        </w:r>
        <w:r>
          <w:fldChar w:fldCharType="separate"/>
        </w:r>
        <w:r w:rsidR="00784AD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AF5" w:rsidRDefault="00412AF5">
      <w:r>
        <w:separator/>
      </w:r>
    </w:p>
  </w:footnote>
  <w:footnote w:type="continuationSeparator" w:id="0">
    <w:p w:rsidR="00412AF5" w:rsidRDefault="00412AF5">
      <w:r>
        <w:continuationSeparator/>
      </w:r>
    </w:p>
  </w:footnote>
  <w:footnote w:id="1">
    <w:p w:rsidR="00C22AA0" w:rsidRDefault="00C22AA0" w:rsidP="00C22AA0">
      <w:pPr>
        <w:pStyle w:val="FootnoteText"/>
      </w:pPr>
      <w:r>
        <w:rPr>
          <w:rStyle w:val="FootnoteReference"/>
        </w:rPr>
        <w:footnoteRef/>
      </w:r>
      <w:r>
        <w:t xml:space="preserve"> Source: </w:t>
      </w:r>
      <w:hyperlink r:id="rId1" w:history="1">
        <w:r>
          <w:rPr>
            <w:rStyle w:val="Hyperlink"/>
          </w:rPr>
          <w:t>Global Gateway | European Commission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FFE" w:rsidRDefault="005C2FFE" w:rsidP="00774992">
    <w:pPr>
      <w:pStyle w:val="Header"/>
    </w:pPr>
  </w:p>
  <w:p w:rsidR="00774992" w:rsidRDefault="00774992" w:rsidP="00774992">
    <w:pPr>
      <w:pStyle w:val="BodyText"/>
      <w:tabs>
        <w:tab w:val="left" w:pos="1545"/>
      </w:tabs>
      <w:spacing w:before="6"/>
      <w:jc w:val="center"/>
      <w:rPr>
        <w:b/>
        <w:sz w:val="24"/>
      </w:rPr>
    </w:pPr>
    <w:r>
      <w:rPr>
        <w:b/>
        <w:noProof/>
        <w:sz w:val="24"/>
        <w:lang w:val="lt-LT" w:eastAsia="lt-LT"/>
      </w:rPr>
      <w:drawing>
        <wp:inline distT="0" distB="0" distL="0" distR="0" wp14:anchorId="731AEC33" wp14:editId="6AE46705">
          <wp:extent cx="685800" cy="37100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641" cy="379035"/>
                  </a:xfrm>
                  <a:prstGeom prst="rect">
                    <a:avLst/>
                  </a:prstGeom>
                  <a:noFill/>
                </pic:spPr>
              </pic:pic>
            </a:graphicData>
          </a:graphic>
        </wp:inline>
      </w:drawing>
    </w:r>
    <w:r>
      <w:rPr>
        <w:b/>
        <w:sz w:val="24"/>
      </w:rPr>
      <w:t xml:space="preserve">  </w:t>
    </w:r>
    <w:r>
      <w:rPr>
        <w:b/>
        <w:noProof/>
        <w:sz w:val="24"/>
        <w:lang w:val="lt-LT" w:eastAsia="lt-LT"/>
      </w:rPr>
      <w:drawing>
        <wp:inline distT="0" distB="0" distL="0" distR="0" wp14:anchorId="57512CD1" wp14:editId="60312D75">
          <wp:extent cx="685800" cy="3679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067" cy="372962"/>
                  </a:xfrm>
                  <a:prstGeom prst="rect">
                    <a:avLst/>
                  </a:prstGeom>
                  <a:noFill/>
                </pic:spPr>
              </pic:pic>
            </a:graphicData>
          </a:graphic>
        </wp:inline>
      </w:drawing>
    </w:r>
    <w:r>
      <w:rPr>
        <w:b/>
        <w:sz w:val="24"/>
      </w:rPr>
      <w:t xml:space="preserve">  </w:t>
    </w:r>
    <w:r>
      <w:rPr>
        <w:b/>
        <w:noProof/>
        <w:sz w:val="24"/>
        <w:lang w:val="lt-LT" w:eastAsia="lt-LT"/>
      </w:rPr>
      <w:drawing>
        <wp:inline distT="0" distB="0" distL="0" distR="0" wp14:anchorId="59A9D20C" wp14:editId="62EBE974">
          <wp:extent cx="542925" cy="3628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4825" cy="370813"/>
                  </a:xfrm>
                  <a:prstGeom prst="rect">
                    <a:avLst/>
                  </a:prstGeom>
                  <a:noFill/>
                  <a:ln>
                    <a:noFill/>
                  </a:ln>
                </pic:spPr>
              </pic:pic>
            </a:graphicData>
          </a:graphic>
        </wp:inline>
      </w:drawing>
    </w:r>
    <w:r>
      <w:rPr>
        <w:b/>
        <w:sz w:val="24"/>
      </w:rPr>
      <w:t xml:space="preserve">  </w:t>
    </w:r>
    <w:r>
      <w:rPr>
        <w:b/>
        <w:noProof/>
        <w:sz w:val="24"/>
        <w:lang w:val="lt-LT" w:eastAsia="lt-LT"/>
      </w:rPr>
      <w:drawing>
        <wp:inline distT="0" distB="0" distL="0" distR="0" wp14:anchorId="0F67F1D8" wp14:editId="21B591C2">
          <wp:extent cx="666750" cy="357769"/>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1083" cy="365460"/>
                  </a:xfrm>
                  <a:prstGeom prst="rect">
                    <a:avLst/>
                  </a:prstGeom>
                  <a:noFill/>
                </pic:spPr>
              </pic:pic>
            </a:graphicData>
          </a:graphic>
        </wp:inline>
      </w:drawing>
    </w:r>
    <w:r>
      <w:rPr>
        <w:b/>
        <w:sz w:val="24"/>
      </w:rPr>
      <w:t xml:space="preserve">  </w:t>
    </w:r>
    <w:r>
      <w:rPr>
        <w:b/>
        <w:noProof/>
        <w:sz w:val="24"/>
        <w:lang w:val="lt-LT" w:eastAsia="lt-LT"/>
      </w:rPr>
      <w:drawing>
        <wp:inline distT="0" distB="0" distL="0" distR="0" wp14:anchorId="4DA59259" wp14:editId="63EC3620">
          <wp:extent cx="514350" cy="342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121" cy="344747"/>
                  </a:xfrm>
                  <a:prstGeom prst="rect">
                    <a:avLst/>
                  </a:prstGeom>
                  <a:noFill/>
                </pic:spPr>
              </pic:pic>
            </a:graphicData>
          </a:graphic>
        </wp:inline>
      </w:drawing>
    </w:r>
    <w:r>
      <w:rPr>
        <w:b/>
        <w:sz w:val="24"/>
      </w:rPr>
      <w:t xml:space="preserve">  </w:t>
    </w:r>
    <w:r>
      <w:rPr>
        <w:b/>
        <w:noProof/>
        <w:sz w:val="24"/>
        <w:lang w:val="lt-LT" w:eastAsia="lt-LT"/>
      </w:rPr>
      <w:drawing>
        <wp:inline distT="0" distB="0" distL="0" distR="0" wp14:anchorId="77E542A3" wp14:editId="313A5F53">
          <wp:extent cx="629503" cy="342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7876" cy="347461"/>
                  </a:xfrm>
                  <a:prstGeom prst="rect">
                    <a:avLst/>
                  </a:prstGeom>
                  <a:noFill/>
                </pic:spPr>
              </pic:pic>
            </a:graphicData>
          </a:graphic>
        </wp:inline>
      </w:drawing>
    </w:r>
    <w:r>
      <w:rPr>
        <w:b/>
        <w:sz w:val="24"/>
      </w:rPr>
      <w:t xml:space="preserve">  </w:t>
    </w:r>
    <w:r>
      <w:rPr>
        <w:b/>
        <w:noProof/>
        <w:sz w:val="24"/>
        <w:lang w:val="lt-LT" w:eastAsia="lt-LT"/>
      </w:rPr>
      <w:drawing>
        <wp:inline distT="0" distB="0" distL="0" distR="0" wp14:anchorId="2767D396" wp14:editId="552CF290">
          <wp:extent cx="590550" cy="321681"/>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62" cy="328932"/>
                  </a:xfrm>
                  <a:prstGeom prst="rect">
                    <a:avLst/>
                  </a:prstGeom>
                  <a:noFill/>
                </pic:spPr>
              </pic:pic>
            </a:graphicData>
          </a:graphic>
        </wp:inline>
      </w:drawing>
    </w:r>
    <w:r>
      <w:rPr>
        <w:b/>
        <w:sz w:val="24"/>
      </w:rPr>
      <w:t xml:space="preserve">  </w:t>
    </w:r>
    <w:r>
      <w:rPr>
        <w:b/>
        <w:noProof/>
        <w:sz w:val="24"/>
        <w:lang w:val="lt-LT" w:eastAsia="lt-LT"/>
      </w:rPr>
      <w:drawing>
        <wp:inline distT="0" distB="0" distL="0" distR="0" wp14:anchorId="38626CAF" wp14:editId="32F03E68">
          <wp:extent cx="647700" cy="352812"/>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488" cy="358144"/>
                  </a:xfrm>
                  <a:prstGeom prst="rect">
                    <a:avLst/>
                  </a:prstGeom>
                  <a:noFill/>
                </pic:spPr>
              </pic:pic>
            </a:graphicData>
          </a:graphic>
        </wp:inline>
      </w:drawing>
    </w:r>
  </w:p>
  <w:p w:rsidR="00774992" w:rsidRPr="00774992" w:rsidRDefault="00774992" w:rsidP="00774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61226"/>
    <w:multiLevelType w:val="hybridMultilevel"/>
    <w:tmpl w:val="C9266590"/>
    <w:lvl w:ilvl="0" w:tplc="E14A6DAA">
      <w:numFmt w:val="bullet"/>
      <w:lvlText w:val=""/>
      <w:lvlJc w:val="left"/>
      <w:pPr>
        <w:ind w:left="467" w:hanging="349"/>
      </w:pPr>
      <w:rPr>
        <w:rFonts w:ascii="Symbol" w:eastAsia="Symbol" w:hAnsi="Symbol" w:cs="Symbol" w:hint="default"/>
        <w:b w:val="0"/>
        <w:bCs w:val="0"/>
        <w:i w:val="0"/>
        <w:iCs w:val="0"/>
        <w:w w:val="100"/>
        <w:sz w:val="22"/>
        <w:szCs w:val="22"/>
        <w:lang w:val="en-GB" w:eastAsia="en-US" w:bidi="ar-SA"/>
      </w:rPr>
    </w:lvl>
    <w:lvl w:ilvl="1" w:tplc="AA04010C">
      <w:numFmt w:val="bullet"/>
      <w:lvlText w:val="o"/>
      <w:lvlJc w:val="left"/>
      <w:pPr>
        <w:ind w:left="815" w:hanging="284"/>
      </w:pPr>
      <w:rPr>
        <w:rFonts w:ascii="Courier New" w:eastAsia="Courier New" w:hAnsi="Courier New" w:cs="Courier New" w:hint="default"/>
        <w:b w:val="0"/>
        <w:bCs w:val="0"/>
        <w:i w:val="0"/>
        <w:iCs w:val="0"/>
        <w:w w:val="100"/>
        <w:sz w:val="22"/>
        <w:szCs w:val="22"/>
        <w:lang w:val="en-GB" w:eastAsia="en-US" w:bidi="ar-SA"/>
      </w:rPr>
    </w:lvl>
    <w:lvl w:ilvl="2" w:tplc="69346664">
      <w:numFmt w:val="bullet"/>
      <w:lvlText w:val="•"/>
      <w:lvlJc w:val="left"/>
      <w:pPr>
        <w:ind w:left="1840" w:hanging="284"/>
      </w:pPr>
      <w:rPr>
        <w:rFonts w:hint="default"/>
        <w:lang w:val="en-GB" w:eastAsia="en-US" w:bidi="ar-SA"/>
      </w:rPr>
    </w:lvl>
    <w:lvl w:ilvl="3" w:tplc="94A887B0">
      <w:numFmt w:val="bullet"/>
      <w:lvlText w:val="•"/>
      <w:lvlJc w:val="left"/>
      <w:pPr>
        <w:ind w:left="2861" w:hanging="284"/>
      </w:pPr>
      <w:rPr>
        <w:rFonts w:hint="default"/>
        <w:lang w:val="en-GB" w:eastAsia="en-US" w:bidi="ar-SA"/>
      </w:rPr>
    </w:lvl>
    <w:lvl w:ilvl="4" w:tplc="DE3C4144">
      <w:numFmt w:val="bullet"/>
      <w:lvlText w:val="•"/>
      <w:lvlJc w:val="left"/>
      <w:pPr>
        <w:ind w:left="3882" w:hanging="284"/>
      </w:pPr>
      <w:rPr>
        <w:rFonts w:hint="default"/>
        <w:lang w:val="en-GB" w:eastAsia="en-US" w:bidi="ar-SA"/>
      </w:rPr>
    </w:lvl>
    <w:lvl w:ilvl="5" w:tplc="38D4A1D8">
      <w:numFmt w:val="bullet"/>
      <w:lvlText w:val="•"/>
      <w:lvlJc w:val="left"/>
      <w:pPr>
        <w:ind w:left="4902" w:hanging="284"/>
      </w:pPr>
      <w:rPr>
        <w:rFonts w:hint="default"/>
        <w:lang w:val="en-GB" w:eastAsia="en-US" w:bidi="ar-SA"/>
      </w:rPr>
    </w:lvl>
    <w:lvl w:ilvl="6" w:tplc="725A6620">
      <w:numFmt w:val="bullet"/>
      <w:lvlText w:val="•"/>
      <w:lvlJc w:val="left"/>
      <w:pPr>
        <w:ind w:left="5923" w:hanging="284"/>
      </w:pPr>
      <w:rPr>
        <w:rFonts w:hint="default"/>
        <w:lang w:val="en-GB" w:eastAsia="en-US" w:bidi="ar-SA"/>
      </w:rPr>
    </w:lvl>
    <w:lvl w:ilvl="7" w:tplc="4FA61E64">
      <w:numFmt w:val="bullet"/>
      <w:lvlText w:val="•"/>
      <w:lvlJc w:val="left"/>
      <w:pPr>
        <w:ind w:left="6944" w:hanging="284"/>
      </w:pPr>
      <w:rPr>
        <w:rFonts w:hint="default"/>
        <w:lang w:val="en-GB" w:eastAsia="en-US" w:bidi="ar-SA"/>
      </w:rPr>
    </w:lvl>
    <w:lvl w:ilvl="8" w:tplc="5A34E368">
      <w:numFmt w:val="bullet"/>
      <w:lvlText w:val="•"/>
      <w:lvlJc w:val="left"/>
      <w:pPr>
        <w:ind w:left="7964" w:hanging="284"/>
      </w:pPr>
      <w:rPr>
        <w:rFonts w:hint="default"/>
        <w:lang w:val="en-GB" w:eastAsia="en-US" w:bidi="ar-SA"/>
      </w:rPr>
    </w:lvl>
  </w:abstractNum>
  <w:abstractNum w:abstractNumId="1" w15:restartNumberingAfterBreak="0">
    <w:nsid w:val="4DE93A21"/>
    <w:multiLevelType w:val="hybridMultilevel"/>
    <w:tmpl w:val="BEB24E72"/>
    <w:lvl w:ilvl="0" w:tplc="F836F25E">
      <w:start w:val="1"/>
      <w:numFmt w:val="decimal"/>
      <w:lvlText w:val="%1."/>
      <w:lvlJc w:val="left"/>
      <w:pPr>
        <w:ind w:left="328" w:hanging="222"/>
      </w:pPr>
      <w:rPr>
        <w:rFonts w:ascii="Times New Roman" w:eastAsia="Times New Roman" w:hAnsi="Times New Roman" w:cs="Times New Roman" w:hint="default"/>
        <w:b/>
        <w:bCs/>
        <w:i w:val="0"/>
        <w:iCs w:val="0"/>
        <w:w w:val="100"/>
        <w:sz w:val="22"/>
        <w:szCs w:val="22"/>
        <w:lang w:val="en-GB" w:eastAsia="en-US" w:bidi="ar-SA"/>
      </w:rPr>
    </w:lvl>
    <w:lvl w:ilvl="1" w:tplc="B8F404B6">
      <w:numFmt w:val="bullet"/>
      <w:lvlText w:val="•"/>
      <w:lvlJc w:val="left"/>
      <w:pPr>
        <w:ind w:left="1288" w:hanging="222"/>
      </w:pPr>
      <w:rPr>
        <w:rFonts w:hint="default"/>
        <w:lang w:val="en-GB" w:eastAsia="en-US" w:bidi="ar-SA"/>
      </w:rPr>
    </w:lvl>
    <w:lvl w:ilvl="2" w:tplc="2370DDA8">
      <w:numFmt w:val="bullet"/>
      <w:lvlText w:val="•"/>
      <w:lvlJc w:val="left"/>
      <w:pPr>
        <w:ind w:left="2257" w:hanging="222"/>
      </w:pPr>
      <w:rPr>
        <w:rFonts w:hint="default"/>
        <w:lang w:val="en-GB" w:eastAsia="en-US" w:bidi="ar-SA"/>
      </w:rPr>
    </w:lvl>
    <w:lvl w:ilvl="3" w:tplc="1C9289A8">
      <w:numFmt w:val="bullet"/>
      <w:lvlText w:val="•"/>
      <w:lvlJc w:val="left"/>
      <w:pPr>
        <w:ind w:left="3225" w:hanging="222"/>
      </w:pPr>
      <w:rPr>
        <w:rFonts w:hint="default"/>
        <w:lang w:val="en-GB" w:eastAsia="en-US" w:bidi="ar-SA"/>
      </w:rPr>
    </w:lvl>
    <w:lvl w:ilvl="4" w:tplc="88325EDC">
      <w:numFmt w:val="bullet"/>
      <w:lvlText w:val="•"/>
      <w:lvlJc w:val="left"/>
      <w:pPr>
        <w:ind w:left="4194" w:hanging="222"/>
      </w:pPr>
      <w:rPr>
        <w:rFonts w:hint="default"/>
        <w:lang w:val="en-GB" w:eastAsia="en-US" w:bidi="ar-SA"/>
      </w:rPr>
    </w:lvl>
    <w:lvl w:ilvl="5" w:tplc="AC584158">
      <w:numFmt w:val="bullet"/>
      <w:lvlText w:val="•"/>
      <w:lvlJc w:val="left"/>
      <w:pPr>
        <w:ind w:left="5163" w:hanging="222"/>
      </w:pPr>
      <w:rPr>
        <w:rFonts w:hint="default"/>
        <w:lang w:val="en-GB" w:eastAsia="en-US" w:bidi="ar-SA"/>
      </w:rPr>
    </w:lvl>
    <w:lvl w:ilvl="6" w:tplc="3A1EF5EA">
      <w:numFmt w:val="bullet"/>
      <w:lvlText w:val="•"/>
      <w:lvlJc w:val="left"/>
      <w:pPr>
        <w:ind w:left="6131" w:hanging="222"/>
      </w:pPr>
      <w:rPr>
        <w:rFonts w:hint="default"/>
        <w:lang w:val="en-GB" w:eastAsia="en-US" w:bidi="ar-SA"/>
      </w:rPr>
    </w:lvl>
    <w:lvl w:ilvl="7" w:tplc="C082AEE4">
      <w:numFmt w:val="bullet"/>
      <w:lvlText w:val="•"/>
      <w:lvlJc w:val="left"/>
      <w:pPr>
        <w:ind w:left="7100" w:hanging="222"/>
      </w:pPr>
      <w:rPr>
        <w:rFonts w:hint="default"/>
        <w:lang w:val="en-GB" w:eastAsia="en-US" w:bidi="ar-SA"/>
      </w:rPr>
    </w:lvl>
    <w:lvl w:ilvl="8" w:tplc="E6B06EE0">
      <w:numFmt w:val="bullet"/>
      <w:lvlText w:val="•"/>
      <w:lvlJc w:val="left"/>
      <w:pPr>
        <w:ind w:left="8069" w:hanging="222"/>
      </w:pPr>
      <w:rPr>
        <w:rFonts w:hint="default"/>
        <w:lang w:val="en-GB" w:eastAsia="en-US" w:bidi="ar-SA"/>
      </w:rPr>
    </w:lvl>
  </w:abstractNum>
  <w:abstractNum w:abstractNumId="2" w15:restartNumberingAfterBreak="0">
    <w:nsid w:val="50336C99"/>
    <w:multiLevelType w:val="hybridMultilevel"/>
    <w:tmpl w:val="7CDEE164"/>
    <w:lvl w:ilvl="0" w:tplc="F836F25E">
      <w:start w:val="1"/>
      <w:numFmt w:val="decimal"/>
      <w:lvlText w:val="%1."/>
      <w:lvlJc w:val="left"/>
      <w:pPr>
        <w:ind w:left="328" w:hanging="222"/>
      </w:pPr>
      <w:rPr>
        <w:rFonts w:ascii="Times New Roman" w:eastAsia="Times New Roman" w:hAnsi="Times New Roman" w:cs="Times New Roman" w:hint="default"/>
        <w:b/>
        <w:bCs/>
        <w:i w:val="0"/>
        <w:iCs w:val="0"/>
        <w:w w:val="100"/>
        <w:sz w:val="22"/>
        <w:szCs w:val="22"/>
        <w:lang w:val="en-GB" w:eastAsia="en-US" w:bidi="ar-SA"/>
      </w:rPr>
    </w:lvl>
    <w:lvl w:ilvl="1" w:tplc="B8F404B6">
      <w:numFmt w:val="bullet"/>
      <w:lvlText w:val="•"/>
      <w:lvlJc w:val="left"/>
      <w:pPr>
        <w:ind w:left="1288" w:hanging="222"/>
      </w:pPr>
      <w:rPr>
        <w:rFonts w:hint="default"/>
        <w:lang w:val="en-GB" w:eastAsia="en-US" w:bidi="ar-SA"/>
      </w:rPr>
    </w:lvl>
    <w:lvl w:ilvl="2" w:tplc="2370DDA8">
      <w:numFmt w:val="bullet"/>
      <w:lvlText w:val="•"/>
      <w:lvlJc w:val="left"/>
      <w:pPr>
        <w:ind w:left="2257" w:hanging="222"/>
      </w:pPr>
      <w:rPr>
        <w:rFonts w:hint="default"/>
        <w:lang w:val="en-GB" w:eastAsia="en-US" w:bidi="ar-SA"/>
      </w:rPr>
    </w:lvl>
    <w:lvl w:ilvl="3" w:tplc="1C9289A8">
      <w:numFmt w:val="bullet"/>
      <w:lvlText w:val="•"/>
      <w:lvlJc w:val="left"/>
      <w:pPr>
        <w:ind w:left="3225" w:hanging="222"/>
      </w:pPr>
      <w:rPr>
        <w:rFonts w:hint="default"/>
        <w:lang w:val="en-GB" w:eastAsia="en-US" w:bidi="ar-SA"/>
      </w:rPr>
    </w:lvl>
    <w:lvl w:ilvl="4" w:tplc="88325EDC">
      <w:numFmt w:val="bullet"/>
      <w:lvlText w:val="•"/>
      <w:lvlJc w:val="left"/>
      <w:pPr>
        <w:ind w:left="4194" w:hanging="222"/>
      </w:pPr>
      <w:rPr>
        <w:rFonts w:hint="default"/>
        <w:lang w:val="en-GB" w:eastAsia="en-US" w:bidi="ar-SA"/>
      </w:rPr>
    </w:lvl>
    <w:lvl w:ilvl="5" w:tplc="AC584158">
      <w:numFmt w:val="bullet"/>
      <w:lvlText w:val="•"/>
      <w:lvlJc w:val="left"/>
      <w:pPr>
        <w:ind w:left="5163" w:hanging="222"/>
      </w:pPr>
      <w:rPr>
        <w:rFonts w:hint="default"/>
        <w:lang w:val="en-GB" w:eastAsia="en-US" w:bidi="ar-SA"/>
      </w:rPr>
    </w:lvl>
    <w:lvl w:ilvl="6" w:tplc="3A1EF5EA">
      <w:numFmt w:val="bullet"/>
      <w:lvlText w:val="•"/>
      <w:lvlJc w:val="left"/>
      <w:pPr>
        <w:ind w:left="6131" w:hanging="222"/>
      </w:pPr>
      <w:rPr>
        <w:rFonts w:hint="default"/>
        <w:lang w:val="en-GB" w:eastAsia="en-US" w:bidi="ar-SA"/>
      </w:rPr>
    </w:lvl>
    <w:lvl w:ilvl="7" w:tplc="C082AEE4">
      <w:numFmt w:val="bullet"/>
      <w:lvlText w:val="•"/>
      <w:lvlJc w:val="left"/>
      <w:pPr>
        <w:ind w:left="7100" w:hanging="222"/>
      </w:pPr>
      <w:rPr>
        <w:rFonts w:hint="default"/>
        <w:lang w:val="en-GB" w:eastAsia="en-US" w:bidi="ar-SA"/>
      </w:rPr>
    </w:lvl>
    <w:lvl w:ilvl="8" w:tplc="E6B06EE0">
      <w:numFmt w:val="bullet"/>
      <w:lvlText w:val="•"/>
      <w:lvlJc w:val="left"/>
      <w:pPr>
        <w:ind w:left="8069" w:hanging="222"/>
      </w:pPr>
      <w:rPr>
        <w:rFonts w:hint="default"/>
        <w:lang w:val="en-GB" w:eastAsia="en-US" w:bidi="ar-SA"/>
      </w:rPr>
    </w:lvl>
  </w:abstractNum>
  <w:abstractNum w:abstractNumId="3" w15:restartNumberingAfterBreak="0">
    <w:nsid w:val="55F554E3"/>
    <w:multiLevelType w:val="hybridMultilevel"/>
    <w:tmpl w:val="089C9802"/>
    <w:lvl w:ilvl="0" w:tplc="F836F25E">
      <w:start w:val="1"/>
      <w:numFmt w:val="decimal"/>
      <w:lvlText w:val="%1."/>
      <w:lvlJc w:val="left"/>
      <w:pPr>
        <w:ind w:left="328" w:hanging="222"/>
      </w:pPr>
      <w:rPr>
        <w:rFonts w:ascii="Times New Roman" w:eastAsia="Times New Roman" w:hAnsi="Times New Roman" w:cs="Times New Roman" w:hint="default"/>
        <w:b/>
        <w:bCs/>
        <w:i w:val="0"/>
        <w:iCs w:val="0"/>
        <w:w w:val="100"/>
        <w:sz w:val="22"/>
        <w:szCs w:val="22"/>
        <w:lang w:val="en-GB" w:eastAsia="en-US" w:bidi="ar-SA"/>
      </w:rPr>
    </w:lvl>
    <w:lvl w:ilvl="1" w:tplc="B8F404B6">
      <w:numFmt w:val="bullet"/>
      <w:lvlText w:val="•"/>
      <w:lvlJc w:val="left"/>
      <w:pPr>
        <w:ind w:left="1288" w:hanging="222"/>
      </w:pPr>
      <w:rPr>
        <w:rFonts w:hint="default"/>
        <w:lang w:val="en-GB" w:eastAsia="en-US" w:bidi="ar-SA"/>
      </w:rPr>
    </w:lvl>
    <w:lvl w:ilvl="2" w:tplc="2370DDA8">
      <w:numFmt w:val="bullet"/>
      <w:lvlText w:val="•"/>
      <w:lvlJc w:val="left"/>
      <w:pPr>
        <w:ind w:left="2257" w:hanging="222"/>
      </w:pPr>
      <w:rPr>
        <w:rFonts w:hint="default"/>
        <w:lang w:val="en-GB" w:eastAsia="en-US" w:bidi="ar-SA"/>
      </w:rPr>
    </w:lvl>
    <w:lvl w:ilvl="3" w:tplc="1C9289A8">
      <w:numFmt w:val="bullet"/>
      <w:lvlText w:val="•"/>
      <w:lvlJc w:val="left"/>
      <w:pPr>
        <w:ind w:left="3225" w:hanging="222"/>
      </w:pPr>
      <w:rPr>
        <w:rFonts w:hint="default"/>
        <w:lang w:val="en-GB" w:eastAsia="en-US" w:bidi="ar-SA"/>
      </w:rPr>
    </w:lvl>
    <w:lvl w:ilvl="4" w:tplc="88325EDC">
      <w:numFmt w:val="bullet"/>
      <w:lvlText w:val="•"/>
      <w:lvlJc w:val="left"/>
      <w:pPr>
        <w:ind w:left="4194" w:hanging="222"/>
      </w:pPr>
      <w:rPr>
        <w:rFonts w:hint="default"/>
        <w:lang w:val="en-GB" w:eastAsia="en-US" w:bidi="ar-SA"/>
      </w:rPr>
    </w:lvl>
    <w:lvl w:ilvl="5" w:tplc="AC584158">
      <w:numFmt w:val="bullet"/>
      <w:lvlText w:val="•"/>
      <w:lvlJc w:val="left"/>
      <w:pPr>
        <w:ind w:left="5163" w:hanging="222"/>
      </w:pPr>
      <w:rPr>
        <w:rFonts w:hint="default"/>
        <w:lang w:val="en-GB" w:eastAsia="en-US" w:bidi="ar-SA"/>
      </w:rPr>
    </w:lvl>
    <w:lvl w:ilvl="6" w:tplc="3A1EF5EA">
      <w:numFmt w:val="bullet"/>
      <w:lvlText w:val="•"/>
      <w:lvlJc w:val="left"/>
      <w:pPr>
        <w:ind w:left="6131" w:hanging="222"/>
      </w:pPr>
      <w:rPr>
        <w:rFonts w:hint="default"/>
        <w:lang w:val="en-GB" w:eastAsia="en-US" w:bidi="ar-SA"/>
      </w:rPr>
    </w:lvl>
    <w:lvl w:ilvl="7" w:tplc="C082AEE4">
      <w:numFmt w:val="bullet"/>
      <w:lvlText w:val="•"/>
      <w:lvlJc w:val="left"/>
      <w:pPr>
        <w:ind w:left="7100" w:hanging="222"/>
      </w:pPr>
      <w:rPr>
        <w:rFonts w:hint="default"/>
        <w:lang w:val="en-GB" w:eastAsia="en-US" w:bidi="ar-SA"/>
      </w:rPr>
    </w:lvl>
    <w:lvl w:ilvl="8" w:tplc="E6B06EE0">
      <w:numFmt w:val="bullet"/>
      <w:lvlText w:val="•"/>
      <w:lvlJc w:val="left"/>
      <w:pPr>
        <w:ind w:left="8069" w:hanging="222"/>
      </w:pPr>
      <w:rPr>
        <w:rFonts w:hint="default"/>
        <w:lang w:val="en-GB" w:eastAsia="en-US" w:bidi="ar-SA"/>
      </w:rPr>
    </w:lvl>
  </w:abstractNum>
  <w:abstractNum w:abstractNumId="4" w15:restartNumberingAfterBreak="0">
    <w:nsid w:val="74D5718A"/>
    <w:multiLevelType w:val="hybridMultilevel"/>
    <w:tmpl w:val="F088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A55DC2"/>
    <w:multiLevelType w:val="hybridMultilevel"/>
    <w:tmpl w:val="3108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00"/>
    <w:rsid w:val="000A26F4"/>
    <w:rsid w:val="000A3000"/>
    <w:rsid w:val="00106197"/>
    <w:rsid w:val="00171B97"/>
    <w:rsid w:val="00185986"/>
    <w:rsid w:val="001A0612"/>
    <w:rsid w:val="001A58E8"/>
    <w:rsid w:val="001F069A"/>
    <w:rsid w:val="001F0D14"/>
    <w:rsid w:val="00204B62"/>
    <w:rsid w:val="002300BF"/>
    <w:rsid w:val="0024207C"/>
    <w:rsid w:val="00277828"/>
    <w:rsid w:val="002F55D8"/>
    <w:rsid w:val="003208CB"/>
    <w:rsid w:val="00337F35"/>
    <w:rsid w:val="0038707A"/>
    <w:rsid w:val="003B6DE5"/>
    <w:rsid w:val="003C6F5B"/>
    <w:rsid w:val="003D0922"/>
    <w:rsid w:val="003F447D"/>
    <w:rsid w:val="00411189"/>
    <w:rsid w:val="00412AF5"/>
    <w:rsid w:val="00417149"/>
    <w:rsid w:val="00463F0B"/>
    <w:rsid w:val="004753F9"/>
    <w:rsid w:val="004814EE"/>
    <w:rsid w:val="00482C16"/>
    <w:rsid w:val="00484AC7"/>
    <w:rsid w:val="00533F04"/>
    <w:rsid w:val="00593E78"/>
    <w:rsid w:val="005974ED"/>
    <w:rsid w:val="005C2FFE"/>
    <w:rsid w:val="005D4658"/>
    <w:rsid w:val="005F4A59"/>
    <w:rsid w:val="0061518F"/>
    <w:rsid w:val="00650A84"/>
    <w:rsid w:val="0067732B"/>
    <w:rsid w:val="00696C5E"/>
    <w:rsid w:val="006A7F82"/>
    <w:rsid w:val="006D21BF"/>
    <w:rsid w:val="00702288"/>
    <w:rsid w:val="00743C80"/>
    <w:rsid w:val="00745F61"/>
    <w:rsid w:val="00774992"/>
    <w:rsid w:val="00775C81"/>
    <w:rsid w:val="007803EB"/>
    <w:rsid w:val="00784AD1"/>
    <w:rsid w:val="007C4BA9"/>
    <w:rsid w:val="007D4D0B"/>
    <w:rsid w:val="007E65F6"/>
    <w:rsid w:val="008268B7"/>
    <w:rsid w:val="00843995"/>
    <w:rsid w:val="00872E2A"/>
    <w:rsid w:val="008A33DD"/>
    <w:rsid w:val="008C7FD6"/>
    <w:rsid w:val="008D55CC"/>
    <w:rsid w:val="008E7EAE"/>
    <w:rsid w:val="008F34D9"/>
    <w:rsid w:val="00900CD2"/>
    <w:rsid w:val="009068A7"/>
    <w:rsid w:val="00924717"/>
    <w:rsid w:val="00942802"/>
    <w:rsid w:val="00954AB6"/>
    <w:rsid w:val="00974D62"/>
    <w:rsid w:val="009E565C"/>
    <w:rsid w:val="009F0430"/>
    <w:rsid w:val="00A056F5"/>
    <w:rsid w:val="00AD368D"/>
    <w:rsid w:val="00AD54F2"/>
    <w:rsid w:val="00B15867"/>
    <w:rsid w:val="00BD1874"/>
    <w:rsid w:val="00C019CB"/>
    <w:rsid w:val="00C10C18"/>
    <w:rsid w:val="00C22AA0"/>
    <w:rsid w:val="00CB3FA6"/>
    <w:rsid w:val="00D12F0A"/>
    <w:rsid w:val="00D86586"/>
    <w:rsid w:val="00DD3A12"/>
    <w:rsid w:val="00E63B22"/>
    <w:rsid w:val="00E83026"/>
    <w:rsid w:val="00EB030A"/>
    <w:rsid w:val="00EB0AD4"/>
    <w:rsid w:val="00EC2444"/>
    <w:rsid w:val="00F80BE1"/>
    <w:rsid w:val="00F97702"/>
    <w:rsid w:val="00FD50ED"/>
    <w:rsid w:val="00FE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4E950FB-1F53-45E9-A124-C103B00C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GB"/>
    </w:rPr>
  </w:style>
  <w:style w:type="paragraph" w:styleId="Heading1">
    <w:name w:val="heading 1"/>
    <w:basedOn w:val="Normal"/>
    <w:uiPriority w:val="1"/>
    <w:qFormat/>
    <w:pPr>
      <w:spacing w:before="110"/>
      <w:ind w:left="1218" w:right="1348"/>
      <w:jc w:val="center"/>
      <w:outlineLvl w:val="0"/>
    </w:pPr>
    <w:rPr>
      <w:b/>
      <w:bCs/>
      <w:sz w:val="32"/>
      <w:szCs w:val="32"/>
    </w:rPr>
  </w:style>
  <w:style w:type="paragraph" w:styleId="Heading2">
    <w:name w:val="heading 2"/>
    <w:basedOn w:val="Normal"/>
    <w:uiPriority w:val="1"/>
    <w:qFormat/>
    <w:pPr>
      <w:ind w:left="328" w:hanging="22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523" w:right="3538"/>
      <w:jc w:val="center"/>
    </w:pPr>
    <w:rPr>
      <w:b/>
      <w:bCs/>
      <w:sz w:val="36"/>
      <w:szCs w:val="36"/>
    </w:rPr>
  </w:style>
  <w:style w:type="paragraph" w:styleId="ListParagraph">
    <w:name w:val="List Paragraph"/>
    <w:basedOn w:val="Normal"/>
    <w:uiPriority w:val="34"/>
    <w:qFormat/>
    <w:pPr>
      <w:ind w:left="815" w:hanging="284"/>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C22AA0"/>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C22AA0"/>
    <w:rPr>
      <w:sz w:val="20"/>
      <w:szCs w:val="20"/>
    </w:rPr>
  </w:style>
  <w:style w:type="character" w:styleId="FootnoteReference">
    <w:name w:val="footnote reference"/>
    <w:basedOn w:val="DefaultParagraphFont"/>
    <w:uiPriority w:val="99"/>
    <w:semiHidden/>
    <w:unhideWhenUsed/>
    <w:rsid w:val="00C22AA0"/>
    <w:rPr>
      <w:vertAlign w:val="superscript"/>
    </w:rPr>
  </w:style>
  <w:style w:type="character" w:styleId="Hyperlink">
    <w:name w:val="Hyperlink"/>
    <w:basedOn w:val="DefaultParagraphFont"/>
    <w:uiPriority w:val="99"/>
    <w:unhideWhenUsed/>
    <w:rsid w:val="00C22AA0"/>
    <w:rPr>
      <w:color w:val="0000FF"/>
      <w:u w:val="single"/>
    </w:rPr>
  </w:style>
  <w:style w:type="paragraph" w:styleId="Header">
    <w:name w:val="header"/>
    <w:basedOn w:val="Normal"/>
    <w:link w:val="HeaderChar"/>
    <w:uiPriority w:val="99"/>
    <w:unhideWhenUsed/>
    <w:rsid w:val="005C2FFE"/>
    <w:pPr>
      <w:tabs>
        <w:tab w:val="center" w:pos="4680"/>
        <w:tab w:val="right" w:pos="9360"/>
      </w:tabs>
    </w:pPr>
  </w:style>
  <w:style w:type="character" w:customStyle="1" w:styleId="HeaderChar">
    <w:name w:val="Header Char"/>
    <w:basedOn w:val="DefaultParagraphFont"/>
    <w:link w:val="Header"/>
    <w:uiPriority w:val="99"/>
    <w:rsid w:val="005C2FFE"/>
    <w:rPr>
      <w:rFonts w:ascii="Times New Roman" w:eastAsia="Times New Roman" w:hAnsi="Times New Roman" w:cs="Times New Roman"/>
      <w:lang w:val="en-GB"/>
    </w:rPr>
  </w:style>
  <w:style w:type="paragraph" w:styleId="Footer">
    <w:name w:val="footer"/>
    <w:basedOn w:val="Normal"/>
    <w:link w:val="FooterChar"/>
    <w:uiPriority w:val="99"/>
    <w:unhideWhenUsed/>
    <w:rsid w:val="005C2FFE"/>
    <w:pPr>
      <w:tabs>
        <w:tab w:val="center" w:pos="4680"/>
        <w:tab w:val="right" w:pos="9360"/>
      </w:tabs>
    </w:pPr>
  </w:style>
  <w:style w:type="character" w:customStyle="1" w:styleId="FooterChar">
    <w:name w:val="Footer Char"/>
    <w:basedOn w:val="DefaultParagraphFont"/>
    <w:link w:val="Footer"/>
    <w:uiPriority w:val="99"/>
    <w:rsid w:val="005C2FFE"/>
    <w:rPr>
      <w:rFonts w:ascii="Times New Roman" w:eastAsia="Times New Roman" w:hAnsi="Times New Roman" w:cs="Times New Roman"/>
      <w:lang w:val="en-GB"/>
    </w:rPr>
  </w:style>
  <w:style w:type="character" w:styleId="CommentReference">
    <w:name w:val="annotation reference"/>
    <w:basedOn w:val="DefaultParagraphFont"/>
    <w:uiPriority w:val="99"/>
    <w:semiHidden/>
    <w:unhideWhenUsed/>
    <w:rsid w:val="00482C16"/>
    <w:rPr>
      <w:sz w:val="16"/>
      <w:szCs w:val="16"/>
    </w:rPr>
  </w:style>
  <w:style w:type="paragraph" w:styleId="CommentText">
    <w:name w:val="annotation text"/>
    <w:basedOn w:val="Normal"/>
    <w:link w:val="CommentTextChar"/>
    <w:uiPriority w:val="99"/>
    <w:semiHidden/>
    <w:unhideWhenUsed/>
    <w:rsid w:val="00482C16"/>
    <w:rPr>
      <w:sz w:val="20"/>
      <w:szCs w:val="20"/>
    </w:rPr>
  </w:style>
  <w:style w:type="character" w:customStyle="1" w:styleId="CommentTextChar">
    <w:name w:val="Comment Text Char"/>
    <w:basedOn w:val="DefaultParagraphFont"/>
    <w:link w:val="CommentText"/>
    <w:uiPriority w:val="99"/>
    <w:semiHidden/>
    <w:rsid w:val="00482C1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82C16"/>
    <w:rPr>
      <w:b/>
      <w:bCs/>
    </w:rPr>
  </w:style>
  <w:style w:type="character" w:customStyle="1" w:styleId="CommentSubjectChar">
    <w:name w:val="Comment Subject Char"/>
    <w:basedOn w:val="CommentTextChar"/>
    <w:link w:val="CommentSubject"/>
    <w:uiPriority w:val="99"/>
    <w:semiHidden/>
    <w:rsid w:val="00482C16"/>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482C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C1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39373">
      <w:bodyDiv w:val="1"/>
      <w:marLeft w:val="0"/>
      <w:marRight w:val="0"/>
      <w:marTop w:val="0"/>
      <w:marBottom w:val="0"/>
      <w:divBdr>
        <w:top w:val="none" w:sz="0" w:space="0" w:color="auto"/>
        <w:left w:val="none" w:sz="0" w:space="0" w:color="auto"/>
        <w:bottom w:val="none" w:sz="0" w:space="0" w:color="auto"/>
        <w:right w:val="none" w:sz="0" w:space="0" w:color="auto"/>
      </w:divBdr>
    </w:div>
    <w:div w:id="2140805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s@urm.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strategy/priorities-2019-2024/stronger-europe-world/global-gateway_en"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1895-D507-4E0A-8EDD-3448EBA2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3903</Words>
  <Characters>2225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Rimkūnaitė</dc:creator>
  <cp:lastModifiedBy>Justina Jakavonytė</cp:lastModifiedBy>
  <cp:revision>23</cp:revision>
  <cp:lastPrinted>2022-09-15T10:58:00Z</cp:lastPrinted>
  <dcterms:created xsi:type="dcterms:W3CDTF">2022-09-09T10:41:00Z</dcterms:created>
  <dcterms:modified xsi:type="dcterms:W3CDTF">2022-09-16T10:21:00Z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LastSaved">
    <vt:filetime>2022-05-16T00:00:00Z</vt:filetime>
  </property>
</Properties>
</file>