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214069" w:rsidRPr="00214069" w:rsidTr="00A97469">
        <w:trPr>
          <w:trHeight w:val="962"/>
        </w:trPr>
        <w:tc>
          <w:tcPr>
            <w:tcW w:w="2093" w:type="dxa"/>
            <w:vAlign w:val="center"/>
          </w:tcPr>
          <w:p w:rsidR="00214069" w:rsidRPr="00A97469" w:rsidRDefault="00214069" w:rsidP="00592A67">
            <w:pPr>
              <w:rPr>
                <w:rFonts w:asciiTheme="minorHAnsi" w:hAnsiTheme="minorHAnsi"/>
                <w:b/>
                <w:sz w:val="22"/>
                <w:szCs w:val="22"/>
              </w:rPr>
            </w:pPr>
            <w:bookmarkStart w:id="0" w:name="_GoBack"/>
            <w:bookmarkEnd w:id="0"/>
            <w:r w:rsidRPr="00A97469">
              <w:rPr>
                <w:rFonts w:asciiTheme="minorHAnsi" w:hAnsiTheme="minorHAnsi"/>
                <w:b/>
                <w:sz w:val="22"/>
                <w:szCs w:val="22"/>
              </w:rPr>
              <w:t>Název materiálu:</w:t>
            </w:r>
          </w:p>
          <w:p w:rsidR="00214069" w:rsidRPr="00A97469" w:rsidRDefault="00214069" w:rsidP="00592A67">
            <w:pPr>
              <w:rPr>
                <w:rFonts w:asciiTheme="minorHAnsi" w:hAnsiTheme="minorHAnsi"/>
                <w:b/>
                <w:sz w:val="22"/>
                <w:szCs w:val="22"/>
              </w:rPr>
            </w:pPr>
          </w:p>
        </w:tc>
        <w:tc>
          <w:tcPr>
            <w:tcW w:w="7229" w:type="dxa"/>
          </w:tcPr>
          <w:p w:rsidR="00214069" w:rsidRPr="00A97469" w:rsidRDefault="00214069" w:rsidP="00A97469">
            <w:pPr>
              <w:tabs>
                <w:tab w:val="left" w:pos="4962"/>
              </w:tabs>
              <w:rPr>
                <w:rFonts w:asciiTheme="minorHAnsi" w:eastAsia="Calibri" w:hAnsiTheme="minorHAnsi" w:cs="Arial"/>
                <w:b/>
                <w:sz w:val="22"/>
                <w:szCs w:val="22"/>
              </w:rPr>
            </w:pPr>
            <w:r w:rsidRPr="00A97469">
              <w:rPr>
                <w:rFonts w:asciiTheme="minorHAnsi" w:hAnsiTheme="minorHAnsi"/>
                <w:b/>
                <w:sz w:val="22"/>
                <w:szCs w:val="22"/>
              </w:rPr>
              <w:t xml:space="preserve">Návrh vyhlášky </w:t>
            </w:r>
            <w:r w:rsidR="00A97469" w:rsidRPr="00A97469">
              <w:rPr>
                <w:rFonts w:asciiTheme="minorHAnsi" w:eastAsia="Calibri" w:hAnsiTheme="minorHAnsi" w:cs="Arial"/>
                <w:b/>
                <w:sz w:val="22"/>
                <w:szCs w:val="22"/>
              </w:rPr>
              <w:t>o způsobu určení hlavního předmětu činnosti zemědělská výroba a způsobu vedení evidence seznamu výrobců s hlavním předmětem činnosti zemědělská výroba</w:t>
            </w:r>
          </w:p>
        </w:tc>
      </w:tr>
      <w:tr w:rsidR="00214069" w:rsidRPr="00214069" w:rsidTr="00592A67">
        <w:tc>
          <w:tcPr>
            <w:tcW w:w="2093" w:type="dxa"/>
            <w:vAlign w:val="center"/>
          </w:tcPr>
          <w:p w:rsidR="00214069" w:rsidRPr="00214069" w:rsidRDefault="00214069" w:rsidP="00592A67">
            <w:pPr>
              <w:rPr>
                <w:rFonts w:asciiTheme="minorHAnsi" w:hAnsiTheme="minorHAnsi"/>
                <w:b/>
                <w:sz w:val="22"/>
                <w:szCs w:val="22"/>
              </w:rPr>
            </w:pPr>
            <w:r w:rsidRPr="00214069">
              <w:rPr>
                <w:rFonts w:asciiTheme="minorHAnsi" w:hAnsiTheme="minorHAnsi"/>
                <w:b/>
                <w:sz w:val="22"/>
                <w:szCs w:val="22"/>
              </w:rPr>
              <w:t>Jméno:</w:t>
            </w:r>
          </w:p>
          <w:p w:rsidR="00214069" w:rsidRPr="00214069" w:rsidRDefault="00214069" w:rsidP="00592A67">
            <w:pPr>
              <w:rPr>
                <w:rFonts w:asciiTheme="minorHAnsi" w:hAnsiTheme="minorHAnsi"/>
                <w:b/>
                <w:sz w:val="22"/>
                <w:szCs w:val="22"/>
              </w:rPr>
            </w:pPr>
          </w:p>
        </w:tc>
        <w:tc>
          <w:tcPr>
            <w:tcW w:w="7229" w:type="dxa"/>
          </w:tcPr>
          <w:p w:rsidR="00214069" w:rsidRPr="00214069" w:rsidRDefault="00214069" w:rsidP="00592A67">
            <w:pPr>
              <w:rPr>
                <w:rFonts w:asciiTheme="minorHAnsi" w:hAnsiTheme="minorHAnsi"/>
                <w:sz w:val="22"/>
                <w:szCs w:val="22"/>
              </w:rPr>
            </w:pPr>
            <w:r w:rsidRPr="00214069">
              <w:rPr>
                <w:rFonts w:asciiTheme="minorHAnsi" w:hAnsiTheme="minorHAnsi"/>
                <w:sz w:val="22"/>
                <w:szCs w:val="22"/>
              </w:rPr>
              <w:t>Václav Trejbal</w:t>
            </w:r>
          </w:p>
        </w:tc>
      </w:tr>
      <w:tr w:rsidR="00214069" w:rsidRPr="00214069" w:rsidTr="00592A67">
        <w:tc>
          <w:tcPr>
            <w:tcW w:w="2093" w:type="dxa"/>
            <w:vAlign w:val="center"/>
          </w:tcPr>
          <w:p w:rsidR="00214069" w:rsidRPr="00214069" w:rsidRDefault="00214069" w:rsidP="00592A67">
            <w:pPr>
              <w:rPr>
                <w:rFonts w:asciiTheme="minorHAnsi" w:hAnsiTheme="minorHAnsi"/>
                <w:b/>
                <w:sz w:val="22"/>
                <w:szCs w:val="22"/>
              </w:rPr>
            </w:pPr>
            <w:r w:rsidRPr="00214069">
              <w:rPr>
                <w:rFonts w:asciiTheme="minorHAnsi" w:hAnsiTheme="minorHAnsi"/>
                <w:b/>
                <w:sz w:val="22"/>
                <w:szCs w:val="22"/>
              </w:rPr>
              <w:t>Telefon</w:t>
            </w:r>
            <w:r w:rsidRPr="00214069">
              <w:rPr>
                <w:rFonts w:asciiTheme="minorHAnsi" w:hAnsiTheme="minorHAnsi"/>
                <w:b/>
                <w:sz w:val="22"/>
                <w:szCs w:val="22"/>
              </w:rPr>
              <w:tab/>
              <w:t>:</w:t>
            </w:r>
          </w:p>
          <w:p w:rsidR="00214069" w:rsidRPr="00214069" w:rsidRDefault="00214069" w:rsidP="00592A67">
            <w:pPr>
              <w:rPr>
                <w:rFonts w:asciiTheme="minorHAnsi" w:hAnsiTheme="minorHAnsi"/>
                <w:b/>
                <w:sz w:val="22"/>
                <w:szCs w:val="22"/>
              </w:rPr>
            </w:pPr>
          </w:p>
        </w:tc>
        <w:tc>
          <w:tcPr>
            <w:tcW w:w="7229" w:type="dxa"/>
          </w:tcPr>
          <w:p w:rsidR="00214069" w:rsidRPr="00214069" w:rsidRDefault="00214069" w:rsidP="00592A67">
            <w:pPr>
              <w:rPr>
                <w:rFonts w:asciiTheme="minorHAnsi" w:hAnsiTheme="minorHAnsi"/>
                <w:sz w:val="22"/>
                <w:szCs w:val="22"/>
              </w:rPr>
            </w:pPr>
            <w:r w:rsidRPr="00214069">
              <w:rPr>
                <w:rFonts w:asciiTheme="minorHAnsi" w:hAnsiTheme="minorHAnsi"/>
                <w:sz w:val="22"/>
                <w:szCs w:val="22"/>
              </w:rPr>
              <w:t>+602 227 268</w:t>
            </w:r>
          </w:p>
        </w:tc>
      </w:tr>
      <w:tr w:rsidR="00214069" w:rsidRPr="00214069" w:rsidTr="00592A67">
        <w:tc>
          <w:tcPr>
            <w:tcW w:w="2093" w:type="dxa"/>
            <w:vAlign w:val="center"/>
          </w:tcPr>
          <w:p w:rsidR="00214069" w:rsidRPr="00214069" w:rsidRDefault="00214069" w:rsidP="00592A67">
            <w:pPr>
              <w:rPr>
                <w:rFonts w:asciiTheme="minorHAnsi" w:hAnsiTheme="minorHAnsi"/>
                <w:b/>
                <w:sz w:val="22"/>
                <w:szCs w:val="22"/>
              </w:rPr>
            </w:pPr>
            <w:r w:rsidRPr="00214069">
              <w:rPr>
                <w:rFonts w:asciiTheme="minorHAnsi" w:hAnsiTheme="minorHAnsi"/>
                <w:b/>
                <w:sz w:val="22"/>
                <w:szCs w:val="22"/>
              </w:rPr>
              <w:t>e-mail:</w:t>
            </w:r>
          </w:p>
          <w:p w:rsidR="00214069" w:rsidRPr="00214069" w:rsidRDefault="00214069" w:rsidP="00592A67">
            <w:pPr>
              <w:rPr>
                <w:rFonts w:asciiTheme="minorHAnsi" w:hAnsiTheme="minorHAnsi"/>
                <w:b/>
                <w:sz w:val="22"/>
                <w:szCs w:val="22"/>
              </w:rPr>
            </w:pPr>
          </w:p>
        </w:tc>
        <w:tc>
          <w:tcPr>
            <w:tcW w:w="7229" w:type="dxa"/>
          </w:tcPr>
          <w:p w:rsidR="00214069" w:rsidRPr="00214069" w:rsidRDefault="00214069" w:rsidP="00592A67">
            <w:pPr>
              <w:rPr>
                <w:rFonts w:asciiTheme="minorHAnsi" w:hAnsiTheme="minorHAnsi"/>
                <w:sz w:val="22"/>
                <w:szCs w:val="22"/>
              </w:rPr>
            </w:pPr>
            <w:r w:rsidRPr="00214069">
              <w:rPr>
                <w:rFonts w:asciiTheme="minorHAnsi" w:hAnsiTheme="minorHAnsi"/>
                <w:sz w:val="22"/>
                <w:szCs w:val="22"/>
              </w:rPr>
              <w:t>Trejbal@spcr.cz</w:t>
            </w:r>
          </w:p>
        </w:tc>
      </w:tr>
    </w:tbl>
    <w:p w:rsidR="00214069" w:rsidRPr="00214069" w:rsidRDefault="00214069" w:rsidP="00214069">
      <w:pPr>
        <w:rPr>
          <w:rFonts w:asciiTheme="minorHAnsi" w:hAnsiTheme="minorHAnsi"/>
          <w:b/>
          <w:sz w:val="22"/>
          <w:szCs w:val="22"/>
        </w:rPr>
      </w:pPr>
    </w:p>
    <w:p w:rsidR="00FC4D6D" w:rsidRPr="00FC4D6D" w:rsidRDefault="00FC4D6D" w:rsidP="00FC4D6D">
      <w:pPr>
        <w:pStyle w:val="Odstavecseseznamem"/>
        <w:numPr>
          <w:ilvl w:val="0"/>
          <w:numId w:val="6"/>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Theme="minorHAnsi" w:hAnsiTheme="minorHAnsi"/>
        </w:rPr>
      </w:pPr>
      <w:r w:rsidRPr="00D95C89">
        <w:rPr>
          <w:rFonts w:asciiTheme="minorHAnsi" w:hAnsiTheme="minorHAnsi"/>
          <w:b/>
        </w:rPr>
        <w:t xml:space="preserve">OBECNÁ PŘIPOMÍNKA </w:t>
      </w:r>
    </w:p>
    <w:p w:rsidR="00FC4D6D" w:rsidRDefault="00FC4D6D" w:rsidP="00FC4D6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b/>
        </w:rPr>
      </w:pPr>
    </w:p>
    <w:p w:rsidR="00FC4D6D" w:rsidRDefault="00FC4D6D" w:rsidP="00FC4D6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Style w:val="normalchar"/>
          <w:rFonts w:asciiTheme="minorHAnsi" w:hAnsiTheme="minorHAnsi" w:cs="Arial"/>
          <w:b/>
        </w:rPr>
      </w:pPr>
      <w:r w:rsidRPr="00FC4D6D">
        <w:rPr>
          <w:rStyle w:val="normalchar"/>
          <w:rFonts w:asciiTheme="minorHAnsi" w:hAnsiTheme="minorHAnsi" w:cs="Arial"/>
          <w:b/>
        </w:rPr>
        <w:t>Připomínka k odůvodnění – část C</w:t>
      </w:r>
    </w:p>
    <w:p w:rsidR="00FC4D6D" w:rsidRDefault="00FC4D6D" w:rsidP="00FC4D6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835BA7">
        <w:rPr>
          <w:rStyle w:val="normalchar"/>
          <w:color w:val="000000" w:themeColor="text1"/>
        </w:rPr>
        <w:t>Doporučujeme</w:t>
      </w:r>
      <w:r>
        <w:rPr>
          <w:rStyle w:val="normalchar"/>
          <w:color w:val="000000" w:themeColor="text1"/>
        </w:rPr>
        <w:t xml:space="preserve"> do odůvodnění vyhlášky</w:t>
      </w:r>
      <w:r w:rsidRPr="00835BA7">
        <w:rPr>
          <w:rStyle w:val="normalchar"/>
          <w:color w:val="000000" w:themeColor="text1"/>
        </w:rPr>
        <w:t xml:space="preserve"> </w:t>
      </w:r>
      <w:r>
        <w:rPr>
          <w:rStyle w:val="normalchar"/>
          <w:color w:val="000000" w:themeColor="text1"/>
        </w:rPr>
        <w:t xml:space="preserve">doplnit, že dotčenými subjekty jsou rovněž povinně vykupující, kteří zajišťují přímou výplatu podpory </w:t>
      </w:r>
      <w:r w:rsidRPr="00252716">
        <w:rPr>
          <w:rFonts w:cs="Arial"/>
        </w:rPr>
        <w:t>výrobcům elektřiny z obnovitelných zdrojů energie v případě, že tito zvolili podporu formou výkupních cen. Povinně vykupující musí rovněž pracovat s informací, zda daný výrobce splňuje veškeré podmínky pro úhradu podpory.</w:t>
      </w:r>
    </w:p>
    <w:p w:rsidR="00FC4D6D" w:rsidRDefault="00FC4D6D" w:rsidP="00FC4D6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cs="Arial"/>
        </w:rPr>
      </w:pPr>
      <w:r w:rsidRPr="00252716">
        <w:rPr>
          <w:rFonts w:cs="Arial"/>
        </w:rPr>
        <w:t xml:space="preserve"> </w:t>
      </w:r>
    </w:p>
    <w:p w:rsidR="00FC4D6D" w:rsidRPr="00FC4D6D" w:rsidRDefault="00FC4D6D" w:rsidP="00FC4D6D">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rPr>
      </w:pPr>
      <w:r w:rsidRPr="00252716">
        <w:rPr>
          <w:rFonts w:cs="Arial"/>
        </w:rPr>
        <w:t xml:space="preserve">S ohledem na </w:t>
      </w:r>
      <w:r>
        <w:rPr>
          <w:rFonts w:cs="Arial"/>
        </w:rPr>
        <w:t xml:space="preserve">níže uvedenou konkrétní zásadní </w:t>
      </w:r>
      <w:r w:rsidRPr="00252716">
        <w:rPr>
          <w:rFonts w:cs="Arial"/>
        </w:rPr>
        <w:t>připomínku doporučujeme</w:t>
      </w:r>
      <w:r>
        <w:rPr>
          <w:rFonts w:cs="Arial"/>
        </w:rPr>
        <w:t xml:space="preserve"> v části B</w:t>
      </w:r>
      <w:r w:rsidRPr="00252716">
        <w:rPr>
          <w:rFonts w:cs="Arial"/>
        </w:rPr>
        <w:t xml:space="preserve"> rozšířit</w:t>
      </w:r>
      <w:r>
        <w:rPr>
          <w:rFonts w:cs="Arial"/>
        </w:rPr>
        <w:t xml:space="preserve"> odůvodnění </w:t>
      </w:r>
      <w:r w:rsidRPr="00252716">
        <w:rPr>
          <w:rFonts w:cs="Arial"/>
        </w:rPr>
        <w:t>o vhodnost zpracování informace o splnění nároku pouze jedním dotčeným subjektem (operátorem trhu), který již v současnosti centrálně</w:t>
      </w:r>
      <w:r>
        <w:rPr>
          <w:rStyle w:val="normalchar"/>
          <w:color w:val="000000" w:themeColor="text1"/>
        </w:rPr>
        <w:t xml:space="preserve"> zpracovává a poskytuje dotčeným subjektům veškeré relevantní informace pro úhradu podpory podle zákona č. 165/2012 Sb., ve znění pozdějších předpisů. Operátor trhu je vždy povinen se seznamem výrobců pracovat a konkrétně vyhodnocovat za účelem ověření, zda může proplatit výši podpory či nikoliv. Navrženým postupem, </w:t>
      </w:r>
      <w:r>
        <w:rPr>
          <w:rStyle w:val="normalchar"/>
          <w:color w:val="000000" w:themeColor="text1"/>
        </w:rPr>
        <w:br/>
        <w:t>kdy již zpracovanou konkrétní informaci poskytne povinně vykupujícímu, bude snížena administrativní zátěž na straně povinně vykupujících při současném nezvýšení zátěže na straně operátora trhu.</w:t>
      </w:r>
    </w:p>
    <w:p w:rsidR="00FC4D6D" w:rsidRDefault="00FC4D6D" w:rsidP="00214069">
      <w:pPr>
        <w:pStyle w:val="Odstavecseseznamem"/>
        <w:tabs>
          <w:tab w:val="left" w:pos="567"/>
        </w:tabs>
        <w:spacing w:after="0" w:line="240" w:lineRule="auto"/>
        <w:ind w:left="0"/>
        <w:jc w:val="both"/>
        <w:rPr>
          <w:rFonts w:asciiTheme="minorHAnsi" w:hAnsiTheme="minorHAnsi"/>
          <w:b/>
        </w:rPr>
      </w:pPr>
    </w:p>
    <w:p w:rsidR="00214069" w:rsidRPr="00214069" w:rsidRDefault="00FC4D6D" w:rsidP="00FC4D6D">
      <w:pPr>
        <w:pStyle w:val="Odstavecseseznamem"/>
        <w:numPr>
          <w:ilvl w:val="0"/>
          <w:numId w:val="6"/>
        </w:numPr>
        <w:tabs>
          <w:tab w:val="left" w:pos="567"/>
        </w:tabs>
        <w:spacing w:after="0" w:line="240" w:lineRule="auto"/>
        <w:ind w:left="567" w:hanging="567"/>
        <w:contextualSpacing w:val="0"/>
        <w:jc w:val="both"/>
        <w:rPr>
          <w:rFonts w:asciiTheme="minorHAnsi" w:hAnsiTheme="minorHAnsi"/>
          <w:b/>
        </w:rPr>
      </w:pPr>
      <w:r w:rsidRPr="00D95C89">
        <w:rPr>
          <w:rFonts w:asciiTheme="minorHAnsi" w:hAnsiTheme="minorHAnsi"/>
          <w:b/>
        </w:rPr>
        <w:t>ZÁSADNÍ KONKRÉTNÍ PŘIPOMÍNKY:</w:t>
      </w:r>
    </w:p>
    <w:p w:rsidR="00FC4D6D" w:rsidRDefault="00FC4D6D" w:rsidP="00FC4D6D">
      <w:pPr>
        <w:rPr>
          <w:rStyle w:val="normalchar"/>
          <w:rFonts w:asciiTheme="minorHAnsi" w:hAnsiTheme="minorHAnsi" w:cs="Arial"/>
          <w:b/>
          <w:sz w:val="22"/>
          <w:szCs w:val="22"/>
        </w:rPr>
      </w:pPr>
    </w:p>
    <w:p w:rsidR="00FC4D6D" w:rsidRPr="00FC4D6D" w:rsidRDefault="00FC4D6D" w:rsidP="00FC4D6D">
      <w:pPr>
        <w:pBdr>
          <w:top w:val="single" w:sz="4" w:space="1" w:color="auto"/>
          <w:left w:val="single" w:sz="4" w:space="5" w:color="auto"/>
          <w:bottom w:val="single" w:sz="4" w:space="1" w:color="auto"/>
          <w:right w:val="single" w:sz="4" w:space="4" w:color="auto"/>
        </w:pBdr>
        <w:rPr>
          <w:rStyle w:val="normalchar"/>
          <w:rFonts w:asciiTheme="minorHAnsi" w:hAnsiTheme="minorHAnsi"/>
          <w:b/>
          <w:color w:val="000000" w:themeColor="text1"/>
          <w:sz w:val="22"/>
          <w:szCs w:val="22"/>
        </w:rPr>
      </w:pPr>
      <w:r w:rsidRPr="00FC4D6D">
        <w:rPr>
          <w:rStyle w:val="normalchar"/>
          <w:rFonts w:asciiTheme="minorHAnsi" w:hAnsiTheme="minorHAnsi" w:cs="Arial"/>
          <w:b/>
          <w:sz w:val="22"/>
          <w:szCs w:val="22"/>
        </w:rPr>
        <w:t xml:space="preserve">Připomínka k § 3 </w:t>
      </w:r>
    </w:p>
    <w:p w:rsidR="00FC4D6D" w:rsidRPr="00FC4D6D" w:rsidRDefault="00FC4D6D" w:rsidP="00FC4D6D">
      <w:pPr>
        <w:pBdr>
          <w:top w:val="single" w:sz="4" w:space="1" w:color="auto"/>
          <w:left w:val="single" w:sz="4" w:space="5" w:color="auto"/>
          <w:bottom w:val="single" w:sz="4" w:space="1" w:color="auto"/>
          <w:right w:val="single" w:sz="4" w:space="4" w:color="auto"/>
        </w:pBdr>
        <w:rPr>
          <w:rStyle w:val="normalchar"/>
          <w:rFonts w:asciiTheme="minorHAnsi" w:hAnsiTheme="minorHAnsi"/>
          <w:color w:val="000000" w:themeColor="text1"/>
          <w:sz w:val="22"/>
          <w:szCs w:val="22"/>
        </w:rPr>
      </w:pPr>
      <w:r w:rsidRPr="00FC4D6D">
        <w:rPr>
          <w:rStyle w:val="normalchar"/>
          <w:rFonts w:asciiTheme="minorHAnsi" w:hAnsiTheme="minorHAnsi"/>
          <w:color w:val="000000" w:themeColor="text1"/>
          <w:sz w:val="22"/>
          <w:szCs w:val="22"/>
        </w:rPr>
        <w:t>Požadujeme doplnit nový odstavec 4, který zní:</w:t>
      </w:r>
    </w:p>
    <w:p w:rsidR="00FC4D6D" w:rsidRDefault="00FC4D6D" w:rsidP="00FC4D6D">
      <w:pPr>
        <w:pBdr>
          <w:top w:val="single" w:sz="4" w:space="1" w:color="auto"/>
          <w:left w:val="single" w:sz="4" w:space="5" w:color="auto"/>
          <w:bottom w:val="single" w:sz="4" w:space="1" w:color="auto"/>
          <w:right w:val="single" w:sz="4" w:space="4" w:color="auto"/>
        </w:pBdr>
        <w:rPr>
          <w:rStyle w:val="normalchar"/>
          <w:rFonts w:asciiTheme="minorHAnsi" w:hAnsiTheme="minorHAnsi"/>
          <w:color w:val="000000" w:themeColor="text1"/>
          <w:sz w:val="22"/>
          <w:szCs w:val="22"/>
        </w:rPr>
      </w:pPr>
      <w:r w:rsidRPr="00FC4D6D">
        <w:rPr>
          <w:rStyle w:val="normalchar"/>
          <w:rFonts w:asciiTheme="minorHAnsi" w:hAnsiTheme="minorHAnsi"/>
          <w:color w:val="000000" w:themeColor="text1"/>
          <w:sz w:val="22"/>
          <w:szCs w:val="22"/>
        </w:rPr>
        <w:t xml:space="preserve"> </w:t>
      </w:r>
    </w:p>
    <w:p w:rsidR="00FC4D6D" w:rsidRPr="00FC4D6D" w:rsidRDefault="00FC4D6D" w:rsidP="00FC4D6D">
      <w:pPr>
        <w:pBdr>
          <w:top w:val="single" w:sz="4" w:space="1" w:color="auto"/>
          <w:left w:val="single" w:sz="4" w:space="5" w:color="auto"/>
          <w:bottom w:val="single" w:sz="4" w:space="1" w:color="auto"/>
          <w:right w:val="single" w:sz="4" w:space="4" w:color="auto"/>
        </w:pBdr>
        <w:rPr>
          <w:rStyle w:val="normalchar"/>
          <w:rFonts w:asciiTheme="minorHAnsi" w:hAnsiTheme="minorHAnsi"/>
          <w:color w:val="000000" w:themeColor="text1"/>
          <w:sz w:val="22"/>
          <w:szCs w:val="22"/>
        </w:rPr>
      </w:pPr>
      <w:r w:rsidRPr="00FC4D6D">
        <w:rPr>
          <w:rStyle w:val="normalchar"/>
          <w:rFonts w:asciiTheme="minorHAnsi" w:hAnsiTheme="minorHAnsi"/>
          <w:color w:val="000000" w:themeColor="text1"/>
          <w:sz w:val="22"/>
          <w:szCs w:val="22"/>
        </w:rPr>
        <w:t>„</w:t>
      </w:r>
      <w:r w:rsidRPr="00FC4D6D">
        <w:rPr>
          <w:rStyle w:val="normalchar"/>
          <w:rFonts w:asciiTheme="minorHAnsi" w:hAnsiTheme="minorHAnsi"/>
          <w:b/>
          <w:color w:val="000000" w:themeColor="text1"/>
          <w:sz w:val="22"/>
          <w:szCs w:val="22"/>
        </w:rPr>
        <w:t xml:space="preserve">(4) Ministerstvo zemědělství zpřístupní údaje podle odstavce 3 operátorovi trhu způsobem umožňujícím dálkový přístup. Operátor trhu zaeviduje u dotčeného výrobce elektřiny nebo tepla podle odstavce 1 údaje podle věty první ve svém informačním systému a v případě, </w:t>
      </w:r>
      <w:r w:rsidRPr="00FC4D6D">
        <w:rPr>
          <w:rStyle w:val="normalchar"/>
          <w:rFonts w:asciiTheme="minorHAnsi" w:hAnsiTheme="minorHAnsi"/>
          <w:b/>
          <w:color w:val="000000" w:themeColor="text1"/>
          <w:sz w:val="22"/>
          <w:szCs w:val="22"/>
        </w:rPr>
        <w:br/>
        <w:t xml:space="preserve">že výrobce uplatňuje podporu formou povinného výkupu, předá údaje povinně vykupujícímu </w:t>
      </w:r>
      <w:r w:rsidRPr="00FC4D6D">
        <w:rPr>
          <w:rStyle w:val="normalchar"/>
          <w:rFonts w:asciiTheme="minorHAnsi" w:hAnsiTheme="minorHAnsi"/>
          <w:b/>
          <w:color w:val="000000" w:themeColor="text1"/>
          <w:sz w:val="22"/>
          <w:szCs w:val="22"/>
        </w:rPr>
        <w:br/>
        <w:t>za účelem ověření nároku na úhradu podpory podle zákona.</w:t>
      </w:r>
      <w:r w:rsidRPr="00FC4D6D">
        <w:rPr>
          <w:rStyle w:val="normalchar"/>
          <w:rFonts w:asciiTheme="minorHAnsi" w:hAnsiTheme="minorHAnsi"/>
          <w:color w:val="000000" w:themeColor="text1"/>
          <w:sz w:val="22"/>
          <w:szCs w:val="22"/>
        </w:rPr>
        <w:t>“.</w:t>
      </w:r>
    </w:p>
    <w:p w:rsidR="00FC4D6D" w:rsidRDefault="00FC4D6D" w:rsidP="00FC4D6D">
      <w:pPr>
        <w:pBdr>
          <w:top w:val="single" w:sz="4" w:space="1" w:color="auto"/>
          <w:left w:val="single" w:sz="4" w:space="5" w:color="auto"/>
          <w:bottom w:val="single" w:sz="4" w:space="1" w:color="auto"/>
          <w:right w:val="single" w:sz="4" w:space="4" w:color="auto"/>
        </w:pBdr>
        <w:rPr>
          <w:rStyle w:val="normalchar"/>
          <w:rFonts w:asciiTheme="minorHAnsi" w:hAnsiTheme="minorHAnsi" w:cs="Arial"/>
          <w:sz w:val="22"/>
          <w:szCs w:val="22"/>
          <w:u w:val="single"/>
        </w:rPr>
      </w:pPr>
    </w:p>
    <w:p w:rsidR="00FC4D6D" w:rsidRDefault="00FC4D6D" w:rsidP="00FC4D6D">
      <w:pPr>
        <w:pBdr>
          <w:top w:val="single" w:sz="4" w:space="1" w:color="auto"/>
          <w:left w:val="single" w:sz="4" w:space="5" w:color="auto"/>
          <w:bottom w:val="single" w:sz="4" w:space="1" w:color="auto"/>
          <w:right w:val="single" w:sz="4" w:space="4" w:color="auto"/>
        </w:pBdr>
        <w:rPr>
          <w:rFonts w:asciiTheme="minorHAnsi" w:hAnsiTheme="minorHAnsi"/>
          <w:sz w:val="22"/>
          <w:szCs w:val="22"/>
        </w:rPr>
      </w:pPr>
      <w:r w:rsidRPr="00FC4D6D">
        <w:rPr>
          <w:rStyle w:val="normalchar"/>
          <w:rFonts w:asciiTheme="minorHAnsi" w:hAnsiTheme="minorHAnsi" w:cs="Arial"/>
          <w:b/>
          <w:sz w:val="22"/>
          <w:szCs w:val="22"/>
        </w:rPr>
        <w:t>Odůvodnění:</w:t>
      </w:r>
      <w:r w:rsidRPr="00FC4D6D">
        <w:rPr>
          <w:rStyle w:val="normalchar"/>
          <w:rFonts w:asciiTheme="minorHAnsi" w:hAnsiTheme="minorHAnsi" w:cs="Arial"/>
          <w:sz w:val="22"/>
          <w:szCs w:val="22"/>
        </w:rPr>
        <w:t xml:space="preserve">  </w:t>
      </w:r>
      <w:r w:rsidRPr="00FC4D6D">
        <w:rPr>
          <w:rFonts w:asciiTheme="minorHAnsi" w:hAnsiTheme="minorHAnsi"/>
          <w:sz w:val="22"/>
          <w:szCs w:val="22"/>
        </w:rPr>
        <w:t xml:space="preserve">Jak je uvedeno v odůvodnění k vyhlášce, dotčeným subjektem je kromě příslušných výrobců elektřiny nebo tepla také operátor trhu s elektřinou, tedy společnost OTE, a.s., která vyplácí provozní podporu </w:t>
      </w:r>
      <w:r w:rsidRPr="00FC4D6D">
        <w:rPr>
          <w:rFonts w:asciiTheme="minorHAnsi" w:eastAsia="Arial Unicode MS" w:hAnsiTheme="minorHAnsi"/>
          <w:sz w:val="22"/>
          <w:szCs w:val="22"/>
        </w:rPr>
        <w:t xml:space="preserve">energie z obnovitelných zdrojů a která bude informace ze seznamu </w:t>
      </w:r>
      <w:r w:rsidRPr="00FC4D6D">
        <w:rPr>
          <w:rFonts w:asciiTheme="minorHAnsi" w:hAnsiTheme="minorHAnsi"/>
          <w:sz w:val="22"/>
          <w:szCs w:val="22"/>
        </w:rPr>
        <w:t xml:space="preserve">výrobců s hlavním předmětem činnosti zemědělská výroba, vedeného ministerstvem, využívat pro svou kontrolní činnost. Tuto informaci však je nucen využívat rovněž povinně vykupující za účelem ověření, zda výrobce splňuje všechny nároky na úhradu podpory. </w:t>
      </w:r>
    </w:p>
    <w:p w:rsidR="00FC4D6D" w:rsidRDefault="00FC4D6D" w:rsidP="00FC4D6D">
      <w:pPr>
        <w:pBdr>
          <w:top w:val="single" w:sz="4" w:space="1" w:color="auto"/>
          <w:left w:val="single" w:sz="4" w:space="5" w:color="auto"/>
          <w:bottom w:val="single" w:sz="4" w:space="1" w:color="auto"/>
          <w:right w:val="single" w:sz="4" w:space="4" w:color="auto"/>
        </w:pBdr>
        <w:rPr>
          <w:rFonts w:asciiTheme="minorHAnsi" w:hAnsiTheme="minorHAnsi"/>
          <w:sz w:val="22"/>
          <w:szCs w:val="22"/>
          <w:u w:val="single"/>
        </w:rPr>
      </w:pPr>
    </w:p>
    <w:p w:rsidR="00FC4D6D" w:rsidRPr="00FC4D6D" w:rsidRDefault="00FC4D6D" w:rsidP="00FC4D6D">
      <w:pPr>
        <w:pBdr>
          <w:top w:val="single" w:sz="4" w:space="1" w:color="auto"/>
          <w:left w:val="single" w:sz="4" w:space="5" w:color="auto"/>
          <w:bottom w:val="single" w:sz="4" w:space="1" w:color="auto"/>
          <w:right w:val="single" w:sz="4" w:space="4" w:color="auto"/>
        </w:pBdr>
        <w:rPr>
          <w:rFonts w:asciiTheme="minorHAnsi" w:hAnsiTheme="minorHAnsi"/>
          <w:sz w:val="22"/>
          <w:szCs w:val="22"/>
        </w:rPr>
      </w:pPr>
      <w:r w:rsidRPr="00FC4D6D">
        <w:rPr>
          <w:rFonts w:asciiTheme="minorHAnsi" w:hAnsiTheme="minorHAnsi"/>
          <w:sz w:val="22"/>
          <w:szCs w:val="22"/>
        </w:rPr>
        <w:t xml:space="preserve">Považujeme za zásadní eliminovat nároky kladené na soukromý sektor. V případě, že OTE, a.s., </w:t>
      </w:r>
      <w:r w:rsidRPr="00FC4D6D">
        <w:rPr>
          <w:rFonts w:asciiTheme="minorHAnsi" w:hAnsiTheme="minorHAnsi"/>
          <w:sz w:val="22"/>
          <w:szCs w:val="22"/>
        </w:rPr>
        <w:br/>
        <w:t xml:space="preserve">již tuto informaci zpracovává za účelem ověření nároku na úhradu podpory, je více než vhodné využít takto zpracované informace a poskytnout ji dotčenému povinně vykupujícímu v případě, že výrobce </w:t>
      </w:r>
      <w:r w:rsidRPr="00FC4D6D">
        <w:rPr>
          <w:rFonts w:asciiTheme="minorHAnsi" w:hAnsiTheme="minorHAnsi"/>
          <w:sz w:val="22"/>
          <w:szCs w:val="22"/>
        </w:rPr>
        <w:lastRenderedPageBreak/>
        <w:t>elektřiny uplatňuje podporu formou výkupních cen, společně s ostatními informacemi o výrobci elektřiny, které operátor trhu již dnes povinně vykupujícímu poskytuje, a snížit tak duplicitní administrativní náročnost na straně soukromého sektoru (konkrétně povinně vykupujícího).</w:t>
      </w:r>
    </w:p>
    <w:p w:rsidR="006B1171" w:rsidRPr="00FC4D6D" w:rsidRDefault="006B1171" w:rsidP="006B1171">
      <w:pPr>
        <w:jc w:val="both"/>
        <w:rPr>
          <w:rFonts w:asciiTheme="minorHAnsi" w:hAnsiTheme="minorHAnsi" w:cstheme="minorHAnsi"/>
          <w:sz w:val="22"/>
          <w:szCs w:val="22"/>
        </w:rPr>
      </w:pPr>
    </w:p>
    <w:p w:rsidR="006B1171" w:rsidRPr="00FC4D6D" w:rsidRDefault="006B1171" w:rsidP="006B1171">
      <w:pPr>
        <w:jc w:val="both"/>
        <w:rPr>
          <w:rFonts w:asciiTheme="minorHAnsi" w:hAnsiTheme="minorHAnsi" w:cstheme="minorHAnsi"/>
          <w:sz w:val="22"/>
          <w:szCs w:val="22"/>
        </w:rPr>
      </w:pPr>
    </w:p>
    <w:p w:rsidR="006B1171" w:rsidRPr="00214069" w:rsidRDefault="006B1171" w:rsidP="006B1171">
      <w:pPr>
        <w:jc w:val="both"/>
        <w:rPr>
          <w:rFonts w:asciiTheme="minorHAnsi" w:hAnsiTheme="minorHAnsi" w:cstheme="minorHAnsi"/>
          <w:sz w:val="22"/>
          <w:szCs w:val="22"/>
        </w:rPr>
      </w:pPr>
      <w:r w:rsidRPr="00214069">
        <w:rPr>
          <w:rFonts w:asciiTheme="minorHAnsi" w:hAnsiTheme="minorHAnsi" w:cstheme="minorHAnsi"/>
          <w:sz w:val="22"/>
          <w:szCs w:val="22"/>
        </w:rPr>
        <w:tab/>
        <w:t xml:space="preserve"> </w:t>
      </w:r>
    </w:p>
    <w:p w:rsidR="00214069" w:rsidRPr="00214069" w:rsidRDefault="00214069">
      <w:pPr>
        <w:jc w:val="both"/>
        <w:rPr>
          <w:rFonts w:asciiTheme="minorHAnsi" w:hAnsiTheme="minorHAnsi" w:cstheme="minorHAnsi"/>
          <w:sz w:val="22"/>
          <w:szCs w:val="22"/>
        </w:rPr>
      </w:pPr>
    </w:p>
    <w:sectPr w:rsidR="00214069" w:rsidRPr="00214069" w:rsidSect="00D76CC9">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418" w:bottom="1418" w:left="1418" w:header="992"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0A" w:rsidRDefault="00065E0A">
      <w:r>
        <w:separator/>
      </w:r>
    </w:p>
  </w:endnote>
  <w:endnote w:type="continuationSeparator" w:id="0">
    <w:p w:rsidR="00065E0A" w:rsidRDefault="00065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EE"/>
    <w:family w:val="swiss"/>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Default="006B117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Default="006B117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Default="006B1171" w:rsidP="008C4284">
    <w:pPr>
      <w:pStyle w:val="Zpat"/>
      <w:tabs>
        <w:tab w:val="left" w:pos="6804"/>
      </w:tabs>
      <w:spacing w:line="240" w:lineRule="atLeast"/>
      <w:rPr>
        <w:rFonts w:ascii="CG Omega" w:hAnsi="CG Omega"/>
        <w:color w:val="005FA4"/>
        <w:sz w:val="16"/>
      </w:rPr>
    </w:pPr>
    <w:r>
      <w:rPr>
        <w:rFonts w:ascii="CG Omega" w:hAnsi="CG Omega"/>
        <w:noProof/>
        <w:color w:val="005FA4"/>
        <w:sz w:val="16"/>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130810</wp:posOffset>
          </wp:positionV>
          <wp:extent cx="1543685" cy="373380"/>
          <wp:effectExtent l="1905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543685" cy="373380"/>
                  </a:xfrm>
                  <a:prstGeom prst="rect">
                    <a:avLst/>
                  </a:prstGeom>
                  <a:noFill/>
                </pic:spPr>
              </pic:pic>
            </a:graphicData>
          </a:graphic>
        </wp:anchor>
      </w:drawing>
    </w:r>
    <w:r w:rsidRPr="00B94002">
      <w:rPr>
        <w:rFonts w:ascii="CG Omega" w:hAnsi="CG Omega"/>
        <w:noProof/>
        <w:color w:val="005FA4"/>
        <w:sz w:val="16"/>
      </w:rPr>
      <w:t>Freyova 948/11, 190 0</w:t>
    </w:r>
    <w:r>
      <w:rPr>
        <w:rFonts w:ascii="CG Omega" w:hAnsi="CG Omega"/>
        <w:noProof/>
        <w:color w:val="005FA4"/>
        <w:sz w:val="16"/>
      </w:rPr>
      <w:t>0</w:t>
    </w:r>
    <w:r w:rsidRPr="00B94002">
      <w:rPr>
        <w:rFonts w:ascii="CG Omega" w:hAnsi="CG Omega"/>
        <w:noProof/>
        <w:color w:val="005FA4"/>
        <w:sz w:val="16"/>
      </w:rPr>
      <w:t xml:space="preserve">  Praha 9</w:t>
    </w:r>
    <w:r>
      <w:rPr>
        <w:rFonts w:ascii="CG Omega" w:hAnsi="CG Omega"/>
        <w:color w:val="005FA4"/>
        <w:sz w:val="16"/>
      </w:rPr>
      <w:tab/>
    </w:r>
    <w:r>
      <w:rPr>
        <w:rFonts w:ascii="CG Omega" w:hAnsi="CG Omega"/>
        <w:color w:val="005FA4"/>
        <w:sz w:val="16"/>
      </w:rPr>
      <w:tab/>
    </w:r>
    <w:proofErr w:type="spellStart"/>
    <w:r>
      <w:rPr>
        <w:rFonts w:ascii="CG Omega" w:hAnsi="CG Omega"/>
        <w:color w:val="005FA4"/>
        <w:sz w:val="16"/>
      </w:rPr>
      <w:t>Member</w:t>
    </w:r>
    <w:proofErr w:type="spellEnd"/>
    <w:r>
      <w:rPr>
        <w:rFonts w:ascii="CG Omega" w:hAnsi="CG Omega"/>
        <w:color w:val="005FA4"/>
        <w:sz w:val="16"/>
      </w:rPr>
      <w:t xml:space="preserve"> </w:t>
    </w:r>
    <w:proofErr w:type="spellStart"/>
    <w:r>
      <w:rPr>
        <w:rFonts w:ascii="CG Omega" w:hAnsi="CG Omega"/>
        <w:color w:val="005FA4"/>
        <w:sz w:val="16"/>
      </w:rPr>
      <w:t>of</w:t>
    </w:r>
    <w:proofErr w:type="spellEnd"/>
  </w:p>
  <w:p w:rsidR="006B1171" w:rsidRDefault="006B1171" w:rsidP="008C4284">
    <w:pPr>
      <w:pStyle w:val="Zpat"/>
      <w:tabs>
        <w:tab w:val="left" w:pos="6663"/>
      </w:tabs>
      <w:spacing w:line="240" w:lineRule="atLeast"/>
      <w:rPr>
        <w:rFonts w:ascii="CG Omega" w:hAnsi="CG Omega"/>
        <w:color w:val="005FA4"/>
        <w:sz w:val="16"/>
      </w:rPr>
    </w:pPr>
    <w:r>
      <w:rPr>
        <w:rFonts w:ascii="CG Omega" w:hAnsi="CG Omega"/>
        <w:color w:val="005FA4"/>
        <w:sz w:val="16"/>
      </w:rPr>
      <w:t>Tel.: +420 225 279 111, Fax: +420 225 279 100</w:t>
    </w:r>
  </w:p>
  <w:p w:rsidR="006B1171" w:rsidRDefault="006B1171" w:rsidP="00422950">
    <w:pPr>
      <w:pStyle w:val="Zpat"/>
      <w:tabs>
        <w:tab w:val="left" w:pos="6663"/>
      </w:tabs>
      <w:spacing w:line="240" w:lineRule="atLeast"/>
    </w:pPr>
    <w:r>
      <w:rPr>
        <w:rFonts w:ascii="CG Omega" w:hAnsi="CG Omega"/>
        <w:color w:val="005FA4"/>
        <w:sz w:val="16"/>
      </w:rPr>
      <w:t>e-mail: spcr</w:t>
    </w:r>
    <w:r w:rsidRPr="001F5E2B">
      <w:rPr>
        <w:rFonts w:ascii="CG Omega" w:hAnsi="CG Omega"/>
        <w:color w:val="005FA4"/>
        <w:sz w:val="16"/>
      </w:rPr>
      <w:t>@spcr.cz</w:t>
    </w:r>
    <w:r>
      <w:rPr>
        <w:rFonts w:ascii="CG Omega" w:hAnsi="CG Omega"/>
        <w:color w:val="005FA4"/>
        <w:sz w:val="16"/>
      </w:rPr>
      <w:t xml:space="preserve">, </w:t>
    </w:r>
    <w:r w:rsidRPr="001F5E2B">
      <w:rPr>
        <w:rFonts w:ascii="CG Omega" w:hAnsi="CG Omega"/>
        <w:color w:val="005FA4"/>
        <w:sz w:val="16"/>
      </w:rPr>
      <w:t>www.spcr.cz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0A" w:rsidRDefault="00065E0A">
      <w:r>
        <w:separator/>
      </w:r>
    </w:p>
  </w:footnote>
  <w:footnote w:type="continuationSeparator" w:id="0">
    <w:p w:rsidR="00065E0A" w:rsidRDefault="00065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Default="006B117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Default="006B117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71" w:rsidRPr="00EF65E4" w:rsidRDefault="006B1171" w:rsidP="008C4284">
    <w:pPr>
      <w:pStyle w:val="Zhlav"/>
      <w:tabs>
        <w:tab w:val="clear" w:pos="4536"/>
        <w:tab w:val="left" w:pos="1134"/>
        <w:tab w:val="left" w:pos="6663"/>
      </w:tabs>
      <w:rPr>
        <w:rFonts w:ascii="CG Omega" w:hAnsi="CG Omega" w:cs="Raavi"/>
        <w:color w:val="005FA4"/>
        <w:sz w:val="24"/>
        <w:szCs w:val="24"/>
      </w:rPr>
    </w:pPr>
    <w:r>
      <w:rPr>
        <w:rFonts w:ascii="CG Omega" w:hAnsi="CG Omega" w:cs="Raavi"/>
        <w:noProof/>
        <w:color w:val="005FA4"/>
        <w:sz w:val="24"/>
        <w:szCs w:val="24"/>
      </w:rPr>
      <w:drawing>
        <wp:anchor distT="0" distB="0" distL="114300" distR="114300" simplePos="0" relativeHeight="251657216" behindDoc="1" locked="0" layoutInCell="1" allowOverlap="1">
          <wp:simplePos x="0" y="0"/>
          <wp:positionH relativeFrom="column">
            <wp:posOffset>-1905</wp:posOffset>
          </wp:positionH>
          <wp:positionV relativeFrom="paragraph">
            <wp:posOffset>28575</wp:posOffset>
          </wp:positionV>
          <wp:extent cx="626110" cy="464820"/>
          <wp:effectExtent l="19050" t="0" r="2540" b="0"/>
          <wp:wrapNone/>
          <wp:docPr id="10" name="obrázek 10" descr="sp2005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2005modre"/>
                  <pic:cNvPicPr>
                    <a:picLocks noChangeAspect="1" noChangeArrowheads="1"/>
                  </pic:cNvPicPr>
                </pic:nvPicPr>
                <pic:blipFill>
                  <a:blip r:embed="rId1"/>
                  <a:srcRect/>
                  <a:stretch>
                    <a:fillRect/>
                  </a:stretch>
                </pic:blipFill>
                <pic:spPr bwMode="auto">
                  <a:xfrm>
                    <a:off x="0" y="0"/>
                    <a:ext cx="626110" cy="464820"/>
                  </a:xfrm>
                  <a:prstGeom prst="rect">
                    <a:avLst/>
                  </a:prstGeom>
                  <a:noFill/>
                </pic:spPr>
              </pic:pic>
            </a:graphicData>
          </a:graphic>
        </wp:anchor>
      </w:drawing>
    </w:r>
    <w:r>
      <w:rPr>
        <w:rFonts w:ascii="CG Omega" w:hAnsi="CG Omega" w:cs="Raavi"/>
        <w:color w:val="005FA4"/>
        <w:sz w:val="24"/>
        <w:szCs w:val="24"/>
      </w:rPr>
      <w:tab/>
    </w:r>
    <w:r w:rsidRPr="00EF65E4">
      <w:rPr>
        <w:rFonts w:ascii="CG Omega" w:hAnsi="CG Omega" w:cs="Raavi"/>
        <w:color w:val="005FA4"/>
        <w:sz w:val="24"/>
        <w:szCs w:val="24"/>
      </w:rPr>
      <w:t>Svaz průmyslu a dopravy České republiky</w:t>
    </w:r>
  </w:p>
  <w:p w:rsidR="006B1171" w:rsidRPr="00EF65E4" w:rsidRDefault="006B1171" w:rsidP="008C4284">
    <w:pPr>
      <w:pStyle w:val="Zhlav"/>
      <w:tabs>
        <w:tab w:val="clear" w:pos="4536"/>
        <w:tab w:val="left" w:pos="1134"/>
        <w:tab w:val="left" w:pos="6663"/>
      </w:tabs>
      <w:ind w:firstLine="1134"/>
      <w:rPr>
        <w:rFonts w:ascii="CG Omega" w:hAnsi="CG Omega" w:cs="Raavi"/>
        <w:color w:val="005FA4"/>
        <w:sz w:val="24"/>
        <w:szCs w:val="24"/>
      </w:rPr>
    </w:pPr>
    <w:proofErr w:type="spellStart"/>
    <w:r w:rsidRPr="00EF65E4">
      <w:rPr>
        <w:rFonts w:ascii="CG Omega" w:hAnsi="CG Omega" w:cs="Raavi"/>
        <w:color w:val="005FA4"/>
        <w:sz w:val="24"/>
        <w:szCs w:val="24"/>
      </w:rPr>
      <w:t>Confederation</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of</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Industry</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of</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the</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Czech</w:t>
    </w:r>
    <w:proofErr w:type="spellEnd"/>
    <w:r w:rsidRPr="00EF65E4">
      <w:rPr>
        <w:rFonts w:ascii="CG Omega" w:hAnsi="CG Omega" w:cs="Raavi"/>
        <w:color w:val="005FA4"/>
        <w:sz w:val="24"/>
        <w:szCs w:val="24"/>
      </w:rPr>
      <w:t xml:space="preserve"> </w:t>
    </w:r>
    <w:proofErr w:type="spellStart"/>
    <w:r w:rsidRPr="00EF65E4">
      <w:rPr>
        <w:rFonts w:ascii="CG Omega" w:hAnsi="CG Omega" w:cs="Raavi"/>
        <w:color w:val="005FA4"/>
        <w:sz w:val="24"/>
        <w:szCs w:val="24"/>
      </w:rPr>
      <w:t>Republic</w:t>
    </w:r>
    <w:proofErr w:type="spellEnd"/>
  </w:p>
  <w:p w:rsidR="006B1171" w:rsidRDefault="006B117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1078"/>
    <w:multiLevelType w:val="hybridMultilevel"/>
    <w:tmpl w:val="6EC61D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9682EB8"/>
    <w:multiLevelType w:val="hybridMultilevel"/>
    <w:tmpl w:val="98F8E55E"/>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A094633"/>
    <w:multiLevelType w:val="hybridMultilevel"/>
    <w:tmpl w:val="9A7E7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4B97362"/>
    <w:multiLevelType w:val="hybridMultilevel"/>
    <w:tmpl w:val="759AF728"/>
    <w:lvl w:ilvl="0" w:tplc="F10E26D6">
      <w:start w:val="1"/>
      <w:numFmt w:val="bullet"/>
      <w:lvlText w:val=""/>
      <w:lvlJc w:val="left"/>
      <w:pPr>
        <w:ind w:left="720" w:hanging="360"/>
      </w:pPr>
      <w:rPr>
        <w:rFonts w:ascii="Wingdings 2" w:hAnsi="Wingdings 2"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1A713B2"/>
    <w:multiLevelType w:val="singleLevel"/>
    <w:tmpl w:val="0405000F"/>
    <w:lvl w:ilvl="0">
      <w:start w:val="1"/>
      <w:numFmt w:val="decimal"/>
      <w:lvlText w:val="%1."/>
      <w:lvlJc w:val="left"/>
      <w:pPr>
        <w:tabs>
          <w:tab w:val="num" w:pos="360"/>
        </w:tabs>
        <w:ind w:left="360" w:hanging="360"/>
      </w:pPr>
    </w:lvl>
  </w:abstractNum>
  <w:abstractNum w:abstractNumId="5">
    <w:nsid w:val="622D2042"/>
    <w:multiLevelType w:val="hybridMultilevel"/>
    <w:tmpl w:val="98F8E55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676731"/>
    <w:multiLevelType w:val="hybridMultilevel"/>
    <w:tmpl w:val="D2F0C802"/>
    <w:lvl w:ilvl="0" w:tplc="5E7C3FA4">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rsids>
    <w:rsidRoot w:val="006E14D4"/>
    <w:rsid w:val="00015A35"/>
    <w:rsid w:val="000538FC"/>
    <w:rsid w:val="00065E0A"/>
    <w:rsid w:val="00093269"/>
    <w:rsid w:val="000C1CCD"/>
    <w:rsid w:val="00151463"/>
    <w:rsid w:val="001907E5"/>
    <w:rsid w:val="0019279B"/>
    <w:rsid w:val="00195BE5"/>
    <w:rsid w:val="001A2C52"/>
    <w:rsid w:val="001A7800"/>
    <w:rsid w:val="001D1254"/>
    <w:rsid w:val="001F5E2B"/>
    <w:rsid w:val="00214069"/>
    <w:rsid w:val="0024362D"/>
    <w:rsid w:val="0024544B"/>
    <w:rsid w:val="002549A8"/>
    <w:rsid w:val="00273377"/>
    <w:rsid w:val="002A06C7"/>
    <w:rsid w:val="00307F00"/>
    <w:rsid w:val="003435D8"/>
    <w:rsid w:val="0036516B"/>
    <w:rsid w:val="00372433"/>
    <w:rsid w:val="00396EF8"/>
    <w:rsid w:val="003B2382"/>
    <w:rsid w:val="003D7D11"/>
    <w:rsid w:val="004026FD"/>
    <w:rsid w:val="00404034"/>
    <w:rsid w:val="00415086"/>
    <w:rsid w:val="00422950"/>
    <w:rsid w:val="00430101"/>
    <w:rsid w:val="004626C4"/>
    <w:rsid w:val="00492BCF"/>
    <w:rsid w:val="004A2979"/>
    <w:rsid w:val="004A432F"/>
    <w:rsid w:val="004C3388"/>
    <w:rsid w:val="004F4759"/>
    <w:rsid w:val="00500ABF"/>
    <w:rsid w:val="0050201F"/>
    <w:rsid w:val="00506FAB"/>
    <w:rsid w:val="00511B59"/>
    <w:rsid w:val="00557542"/>
    <w:rsid w:val="005841B8"/>
    <w:rsid w:val="00587D54"/>
    <w:rsid w:val="005A2617"/>
    <w:rsid w:val="005D3A04"/>
    <w:rsid w:val="005F451A"/>
    <w:rsid w:val="00616231"/>
    <w:rsid w:val="00686582"/>
    <w:rsid w:val="006928C4"/>
    <w:rsid w:val="006A69CE"/>
    <w:rsid w:val="006B1171"/>
    <w:rsid w:val="006D677E"/>
    <w:rsid w:val="006E14D4"/>
    <w:rsid w:val="00734D7A"/>
    <w:rsid w:val="00756DB3"/>
    <w:rsid w:val="007604C1"/>
    <w:rsid w:val="007A01BB"/>
    <w:rsid w:val="007B377B"/>
    <w:rsid w:val="007D5038"/>
    <w:rsid w:val="007E6197"/>
    <w:rsid w:val="007F7BF5"/>
    <w:rsid w:val="00840C14"/>
    <w:rsid w:val="008502EC"/>
    <w:rsid w:val="008C2631"/>
    <w:rsid w:val="008C4284"/>
    <w:rsid w:val="008D0F85"/>
    <w:rsid w:val="00914719"/>
    <w:rsid w:val="009304EF"/>
    <w:rsid w:val="00933CD2"/>
    <w:rsid w:val="00980E56"/>
    <w:rsid w:val="009B4A41"/>
    <w:rsid w:val="009E3388"/>
    <w:rsid w:val="009E33AE"/>
    <w:rsid w:val="009F6BAF"/>
    <w:rsid w:val="00A02AFE"/>
    <w:rsid w:val="00A47DF9"/>
    <w:rsid w:val="00A65856"/>
    <w:rsid w:val="00A97469"/>
    <w:rsid w:val="00B164CF"/>
    <w:rsid w:val="00B61A6E"/>
    <w:rsid w:val="00B83705"/>
    <w:rsid w:val="00B87CA1"/>
    <w:rsid w:val="00B94002"/>
    <w:rsid w:val="00BD1085"/>
    <w:rsid w:val="00BF6526"/>
    <w:rsid w:val="00C02AFC"/>
    <w:rsid w:val="00C9219D"/>
    <w:rsid w:val="00CC4928"/>
    <w:rsid w:val="00CC4CC3"/>
    <w:rsid w:val="00CE5C0C"/>
    <w:rsid w:val="00D37CAC"/>
    <w:rsid w:val="00D6020C"/>
    <w:rsid w:val="00D617FD"/>
    <w:rsid w:val="00D74A61"/>
    <w:rsid w:val="00D76CC9"/>
    <w:rsid w:val="00D91BF6"/>
    <w:rsid w:val="00D9328C"/>
    <w:rsid w:val="00DF6B46"/>
    <w:rsid w:val="00E10EDE"/>
    <w:rsid w:val="00E42CAA"/>
    <w:rsid w:val="00E45824"/>
    <w:rsid w:val="00E467FE"/>
    <w:rsid w:val="00E57638"/>
    <w:rsid w:val="00E81824"/>
    <w:rsid w:val="00E81FCE"/>
    <w:rsid w:val="00EB74EB"/>
    <w:rsid w:val="00EC5954"/>
    <w:rsid w:val="00ED217E"/>
    <w:rsid w:val="00EE2664"/>
    <w:rsid w:val="00EF65E4"/>
    <w:rsid w:val="00F008EF"/>
    <w:rsid w:val="00F07B1C"/>
    <w:rsid w:val="00F12A31"/>
    <w:rsid w:val="00F41AA8"/>
    <w:rsid w:val="00F41F64"/>
    <w:rsid w:val="00F7070D"/>
    <w:rsid w:val="00FC4D6D"/>
    <w:rsid w:val="00FE27F3"/>
    <w:rsid w:val="00FE28A6"/>
    <w:rsid w:val="00FF18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14719"/>
  </w:style>
  <w:style w:type="paragraph" w:styleId="Nadpis1">
    <w:name w:val="heading 1"/>
    <w:basedOn w:val="Normln"/>
    <w:next w:val="Normln"/>
    <w:qFormat/>
    <w:rsid w:val="00914719"/>
    <w:pPr>
      <w:keepNext/>
      <w:outlineLvl w:val="0"/>
    </w:pPr>
    <w:rPr>
      <w:sz w:val="24"/>
    </w:rPr>
  </w:style>
  <w:style w:type="paragraph" w:styleId="Nadpis2">
    <w:name w:val="heading 2"/>
    <w:basedOn w:val="Normln"/>
    <w:next w:val="Normln"/>
    <w:qFormat/>
    <w:rsid w:val="00914719"/>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14719"/>
    <w:rPr>
      <w:color w:val="0000FF"/>
      <w:u w:val="single"/>
    </w:rPr>
  </w:style>
  <w:style w:type="paragraph" w:styleId="Zhlav">
    <w:name w:val="header"/>
    <w:basedOn w:val="Normln"/>
    <w:rsid w:val="00914719"/>
    <w:pPr>
      <w:tabs>
        <w:tab w:val="center" w:pos="4536"/>
        <w:tab w:val="right" w:pos="9072"/>
      </w:tabs>
    </w:pPr>
  </w:style>
  <w:style w:type="paragraph" w:styleId="Zpat">
    <w:name w:val="footer"/>
    <w:basedOn w:val="Normln"/>
    <w:link w:val="ZpatChar"/>
    <w:rsid w:val="00914719"/>
    <w:pPr>
      <w:tabs>
        <w:tab w:val="center" w:pos="4536"/>
        <w:tab w:val="right" w:pos="9072"/>
      </w:tabs>
    </w:pPr>
  </w:style>
  <w:style w:type="table" w:styleId="Mkatabulky">
    <w:name w:val="Table Grid"/>
    <w:basedOn w:val="Normlntabulka"/>
    <w:uiPriority w:val="59"/>
    <w:rsid w:val="00840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rsid w:val="00B94002"/>
  </w:style>
  <w:style w:type="paragraph" w:styleId="Zkladntext">
    <w:name w:val="Body Text"/>
    <w:basedOn w:val="Normln"/>
    <w:link w:val="ZkladntextChar"/>
    <w:rsid w:val="00E57638"/>
    <w:pPr>
      <w:jc w:val="both"/>
    </w:pPr>
    <w:rPr>
      <w:sz w:val="24"/>
      <w:szCs w:val="24"/>
    </w:rPr>
  </w:style>
  <w:style w:type="character" w:customStyle="1" w:styleId="ZkladntextChar">
    <w:name w:val="Základní text Char"/>
    <w:basedOn w:val="Standardnpsmoodstavce"/>
    <w:link w:val="Zkladntext"/>
    <w:rsid w:val="00E57638"/>
    <w:rPr>
      <w:sz w:val="24"/>
      <w:szCs w:val="24"/>
    </w:rPr>
  </w:style>
  <w:style w:type="paragraph" w:styleId="Odstavecseseznamem">
    <w:name w:val="List Paragraph"/>
    <w:aliases w:val="Conclusion de partie,List Paragraph"/>
    <w:basedOn w:val="Normln"/>
    <w:link w:val="OdstavecseseznamemChar"/>
    <w:uiPriority w:val="34"/>
    <w:qFormat/>
    <w:rsid w:val="00933CD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14069"/>
    <w:pPr>
      <w:autoSpaceDE w:val="0"/>
      <w:autoSpaceDN w:val="0"/>
      <w:adjustRightInd w:val="0"/>
    </w:pPr>
    <w:rPr>
      <w:rFonts w:eastAsiaTheme="minorEastAsia"/>
      <w:color w:val="000000"/>
      <w:sz w:val="24"/>
      <w:szCs w:val="24"/>
      <w:lang w:eastAsia="en-US"/>
    </w:rPr>
  </w:style>
  <w:style w:type="character" w:customStyle="1" w:styleId="normalchar">
    <w:name w:val="normal__char"/>
    <w:rsid w:val="00214069"/>
  </w:style>
  <w:style w:type="character" w:customStyle="1" w:styleId="OdstavecseseznamemChar">
    <w:name w:val="Odstavec se seznamem Char"/>
    <w:aliases w:val="Conclusion de partie Char,List Paragraph Char"/>
    <w:basedOn w:val="Standardnpsmoodstavce"/>
    <w:link w:val="Odstavecseseznamem"/>
    <w:uiPriority w:val="34"/>
    <w:locked/>
    <w:rsid w:val="0021406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03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Hlavička dopisního papíru SP ČR</vt:lpstr>
    </vt:vector>
  </TitlesOfParts>
  <Manager>Ing. Zdeněk Liška</Manager>
  <Company>Svaz průmyslu a dopravy ČR</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dopisního papíru SP ČR</dc:title>
  <dc:creator>Petra Ježková</dc:creator>
  <cp:lastModifiedBy>vtrejbal</cp:lastModifiedBy>
  <cp:revision>2</cp:revision>
  <cp:lastPrinted>2007-09-10T10:11:00Z</cp:lastPrinted>
  <dcterms:created xsi:type="dcterms:W3CDTF">2015-11-25T11:06:00Z</dcterms:created>
  <dcterms:modified xsi:type="dcterms:W3CDTF">2015-11-25T11:06:00Z</dcterms:modified>
</cp:coreProperties>
</file>