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0" w:rsidRPr="00975CCF" w:rsidRDefault="00813D70" w:rsidP="00813D70">
      <w:pPr>
        <w:pStyle w:val="Zkladntext"/>
        <w:jc w:val="left"/>
        <w:rPr>
          <w:rFonts w:ascii="Calibri" w:hAnsi="Calibri" w:cs="Calibri"/>
          <w:color w:val="548DD4" w:themeColor="text2" w:themeTint="99"/>
          <w:sz w:val="22"/>
          <w:szCs w:val="22"/>
        </w:rPr>
      </w:pPr>
    </w:p>
    <w:p w:rsidR="007C72E9" w:rsidRDefault="007C72E9" w:rsidP="007C72E9">
      <w:pPr>
        <w:pStyle w:val="Bezmezer1"/>
        <w:spacing w:after="120" w:line="288" w:lineRule="auto"/>
        <w:jc w:val="center"/>
        <w:rPr>
          <w:b/>
          <w:iCs/>
          <w:sz w:val="24"/>
          <w:szCs w:val="24"/>
        </w:rPr>
      </w:pPr>
    </w:p>
    <w:p w:rsidR="00640E28" w:rsidRPr="00E07EA9" w:rsidRDefault="00640E28" w:rsidP="00640E28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E07EA9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Stanovisko k návrhu materiálu</w:t>
      </w:r>
    </w:p>
    <w:p w:rsidR="00640E28" w:rsidRPr="00E07EA9" w:rsidRDefault="00E07EA9" w:rsidP="00640E28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E07EA9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„Aktualizace Cestovní mapy ČR velkých infrastruktur pro výzkum, experimentální vývoj a inovace“</w:t>
      </w:r>
    </w:p>
    <w:p w:rsidR="00640E28" w:rsidRPr="003D178D" w:rsidRDefault="00640E28" w:rsidP="00640E28">
      <w:pPr>
        <w:pStyle w:val="Prosttext"/>
        <w:spacing w:line="276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byl po třech a půl letech práce předložen neúplný, bez řady povinných částí materiálů předkládaných vládě (viz další připomínky) a dalších náležitostí – mj. i bez výhledu do budoucna. Současně předkladatel navrhuje již za půl roku předložit vládě další dopracovaný materiál jako „</w:t>
      </w:r>
      <w:r w:rsidRPr="00E07EA9">
        <w:rPr>
          <w:rFonts w:asciiTheme="minorHAnsi" w:hAnsiTheme="minorHAnsi" w:cstheme="minorHAnsi"/>
          <w:i/>
          <w:noProof/>
          <w:sz w:val="22"/>
          <w:szCs w:val="22"/>
        </w:rPr>
        <w:t>Cestovní mapu ČR velkých infrastruktur pro výzkum, experimentální vývoj a inovace pro roky 2016 – 2022</w:t>
      </w:r>
      <w:r w:rsidRPr="00E07EA9">
        <w:rPr>
          <w:rFonts w:asciiTheme="minorHAnsi" w:hAnsiTheme="minorHAnsi" w:cstheme="minorHAnsi"/>
          <w:sz w:val="22"/>
          <w:szCs w:val="22"/>
        </w:rPr>
        <w:t xml:space="preserve">“. </w:t>
      </w:r>
      <w:r w:rsidRPr="00E07EA9">
        <w:rPr>
          <w:rFonts w:asciiTheme="minorHAnsi" w:hAnsiTheme="minorHAnsi" w:cstheme="minorHAnsi"/>
          <w:b/>
          <w:sz w:val="22"/>
          <w:szCs w:val="22"/>
        </w:rPr>
        <w:t>Žádáme o stažení materiálu, jeho dopracování a doplnění podle předložených připomínek a jeho předložení v předkladatelem navrhovaném termínu do 30. září 2015.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Kromě chybějících částí materiálů předkládaných vládě (dopady na státní rozpočet aj. - viz další připomínky), samotný materiál v Předkládací zprávě, str. 2, v 5. odst. uvádí, že bude „</w:t>
      </w:r>
      <w:r w:rsidRPr="00E07EA9">
        <w:rPr>
          <w:rFonts w:asciiTheme="minorHAnsi" w:hAnsiTheme="minorHAnsi" w:cstheme="minorHAnsi"/>
          <w:i/>
          <w:sz w:val="22"/>
          <w:szCs w:val="22"/>
        </w:rPr>
        <w:t>dále zpracováno i její doplnění o tzv. „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landscape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analysis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“, tedy odborné zhodnocení stavu krajiny výzkumných infrastruktur ČR, a tzv. „gap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analysis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>“, tedy o strategický výhled do budoucna, jenž předloží scénář budoucího klastrování výzkumných infrastruktur ČR nebo modely jejich užší koordinované spolupráce, popř. i scénář pro vyplnění identifikovaných „mezer“ v krajině výzkumných infrastruktur ČR za využití prostředků ESIF v rámci OP VVV.</w:t>
      </w:r>
      <w:r w:rsidRPr="00E07EA9">
        <w:rPr>
          <w:rFonts w:asciiTheme="minorHAnsi" w:hAnsiTheme="minorHAnsi" w:cstheme="minorHAnsi"/>
          <w:sz w:val="22"/>
          <w:szCs w:val="22"/>
        </w:rPr>
        <w:t>“. Materiál tedy ani podle předkladatele není úplný, chybí zejména výhled do budoucna.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doplnění materiálu o zhodnocení dosavadní podpory projektů velkých infrastruktur a jejích konkrétních výsledků.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Součástí každého materiálu navrhujícího pokračování podpory musí být i vyhodnocení dosavadních výsledků podpory, které v předloženém materiálu zcela chybí. Od r. 2010 bylo vládou schváleno 35 projektů velkých infrastruktur s celkovou dotací přes 4 mld. Kč. Podle předloženého materiálu se má jejich počet i výše podpory výrazně zvýšit, ale neuvádí se, co dosavadní podpora ekonomice a společnosti ČR přinesla.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Materiál neuvádí nároky na státní rozpočet, které si jeho schválení vyžádá. </w:t>
      </w: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jeho doplnění o způsob zajištění zvýšených výdajů státního rozpočtu.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V předkládací zprávě chybí povinná část o dopadech na státní rozpočet. Pouze v části III. materiálu na str. 8 je uvedeno „</w:t>
      </w:r>
      <w:r w:rsidRPr="00E07EA9">
        <w:rPr>
          <w:rFonts w:asciiTheme="minorHAnsi" w:hAnsiTheme="minorHAnsi" w:cstheme="minorHAnsi"/>
          <w:i/>
          <w:sz w:val="22"/>
          <w:szCs w:val="22"/>
        </w:rPr>
        <w:t xml:space="preserve">Výstupy hodnocení představují podklad pro rozhodnutí o podpoře velkých infrastruktur pro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VaVaI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v období nadcházejícího víceletého rámce 2016 – 2022 na základě schválení individuálních projektů velkých infrastruktur pro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VaVaI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vládou ČR (představují </w:t>
      </w:r>
      <w:r w:rsidRPr="00E07EA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tedy zcela </w:t>
      </w:r>
      <w:r w:rsidRPr="00E07EA9">
        <w:rPr>
          <w:rFonts w:asciiTheme="minorHAnsi" w:hAnsiTheme="minorHAnsi" w:cstheme="minorHAnsi"/>
          <w:b/>
          <w:i/>
          <w:sz w:val="22"/>
          <w:szCs w:val="22"/>
        </w:rPr>
        <w:t>stěžejní východisko pro sestavování státního rozpočtu ČR na výzkum, vývoj a inovace na rok 2016 a jeho střednědobého výhledu na léta 2017 a 2018</w:t>
      </w:r>
      <w:r w:rsidRPr="00E07EA9">
        <w:rPr>
          <w:rFonts w:asciiTheme="minorHAnsi" w:hAnsiTheme="minorHAnsi" w:cstheme="minorHAnsi"/>
          <w:i/>
          <w:sz w:val="22"/>
          <w:szCs w:val="22"/>
        </w:rPr>
        <w:t>).</w:t>
      </w:r>
      <w:r w:rsidRPr="00E07EA9">
        <w:rPr>
          <w:rFonts w:asciiTheme="minorHAnsi" w:hAnsiTheme="minorHAnsi" w:cstheme="minorHAnsi"/>
          <w:sz w:val="22"/>
          <w:szCs w:val="22"/>
        </w:rPr>
        <w:t xml:space="preserve">“ Proč má materiál bez kvantifikace výdajů představovat stěžejní východisko pro přípravu rozpočtu, předkladatel neuvádí. Kromě toho je materiál z hlediska přípravy rozpočtu předložen opožděně, „Návrh výdajů státního rozpočtu na výzkum, experimentální vývoj a inovace na rok 2015 s výhledem na léta 2017 a 2018“ již byl rozeslán do meziresortního připomínkového řízení. 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Návrh usnesení vlády ukládá zohlednit výsledky hodnocení při přípravě návrhu rozpočtu, aniž uvádí jediné konkrétní číslo – výši požadovaných prostředků.</w:t>
      </w:r>
      <w:r w:rsidRPr="00E07EA9">
        <w:rPr>
          <w:rFonts w:asciiTheme="minorHAnsi" w:hAnsiTheme="minorHAnsi" w:cstheme="minorHAnsi"/>
          <w:b/>
          <w:sz w:val="22"/>
          <w:szCs w:val="22"/>
        </w:rPr>
        <w:t xml:space="preserve"> Žádáme návazně na připomínku č. 1 o jeho doplnění o výši a způsob zajištění zvýšených výdajů státního rozpočtu.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v bodu III návrhu usnesení vlády navrhuje uložit „</w:t>
      </w:r>
      <w:r w:rsidRPr="00E07EA9">
        <w:rPr>
          <w:rFonts w:asciiTheme="minorHAnsi" w:hAnsiTheme="minorHAnsi" w:cstheme="minorHAnsi"/>
          <w:i/>
          <w:sz w:val="22"/>
          <w:szCs w:val="22"/>
        </w:rPr>
        <w:t xml:space="preserve">místopředsedovi vlády pro vědu, výzkum a inovace a Radě pro výzkum, vývoj a inovace zohledňovat výstupy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proběhlého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komplexního mezinárodního hodnocení výzkumných infrastruktur ČR ve výdajích státního rozpočtu ČR na výzkum, vývoj a inovace v rámci alokace rozpočtových prostředků na velké infrastruktury pro výzkum, experimentální vývoj a inovace</w:t>
      </w:r>
      <w:r w:rsidRPr="00E07EA9">
        <w:rPr>
          <w:rFonts w:asciiTheme="minorHAnsi" w:hAnsiTheme="minorHAnsi" w:cstheme="minorHAnsi"/>
          <w:sz w:val="22"/>
          <w:szCs w:val="22"/>
        </w:rPr>
        <w:t>“, aniž uvádí, jak a v jaké výši mají tyto výdaje být zajištěny.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Materiál sice deklaruje „nový model financování“ výzkumných infrastruktur, ale projekty velkých infrastruktur podle předkládaného materiálu zajišťují jen cca 1/3 prostředků ze státního rozpočtu na jejich činnost. </w:t>
      </w: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doplnění materiálu o konkrétní údaje o dalších způsobech financování jednotlivých velkých infrastruktur ze státního rozpočtu, zejména prostředků OP VVV, prostředků Národních programů udržitelnosti I a II, z výdajů na rozvoj výzkumných organizací, z grantových projektů GA ČR a programových projektů TA ČR a dalších poskytovatelů atd.</w:t>
      </w:r>
      <w:r w:rsidRPr="00E07E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uvádí v části III na str. 8 „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Vícezdrojové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financování výzkumných infrastruktur ČR v letech 2016 – 2022</w:t>
      </w:r>
      <w:r w:rsidRPr="00E07EA9">
        <w:rPr>
          <w:rFonts w:asciiTheme="minorHAnsi" w:hAnsiTheme="minorHAnsi" w:cstheme="minorHAnsi"/>
          <w:sz w:val="22"/>
          <w:szCs w:val="22"/>
        </w:rPr>
        <w:t>“, že výzkumné infrastruktury budou podporovány z více zdrojů, ale jde pouze o výdaje státního rozpočtu a prostředky ESIF „</w:t>
      </w:r>
      <w:r w:rsidRPr="00E07EA9">
        <w:rPr>
          <w:rFonts w:asciiTheme="minorHAnsi" w:hAnsiTheme="minorHAnsi" w:cstheme="minorHAnsi"/>
          <w:i/>
          <w:sz w:val="22"/>
          <w:szCs w:val="22"/>
        </w:rPr>
        <w:t>Zamýšlený model financování přitom kombinuje výdaje státního rozpočtu ČR na výzkum, vývoj a inovace s prostředky Evropských strukturálních a investičních fondů (dále jen „ESIF“), které budou čerpány v rámci Operačního programu Výzkum, vývoj a vzdělávání (dále jen „OP VVV“). Model je tak prototypem vzájemně komplementárního, plně synergického a zejména vysoce efektivního využívání obou těchto rozpočtových zdrojů.</w:t>
      </w:r>
      <w:r w:rsidRPr="00E07EA9">
        <w:rPr>
          <w:rFonts w:asciiTheme="minorHAnsi" w:hAnsiTheme="minorHAnsi" w:cstheme="minorHAnsi"/>
          <w:sz w:val="22"/>
          <w:szCs w:val="22"/>
        </w:rPr>
        <w:t>“.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Současně materiál uvádí v části III na str. 9 „</w:t>
      </w:r>
      <w:r w:rsidRPr="00E07EA9">
        <w:rPr>
          <w:rFonts w:asciiTheme="minorHAnsi" w:hAnsiTheme="minorHAnsi" w:cstheme="minorHAnsi"/>
          <w:i/>
          <w:sz w:val="22"/>
          <w:szCs w:val="22"/>
        </w:rPr>
        <w:t xml:space="preserve">V rámci celkových nákladů představují jejich cca 1/3 investice do dalšího technologického rozvoje výzkumných infrastruktur. Ostatní náklady jsou náklady provozní. Provozní náklady výzkumných infrastruktur budou hrazeny Ministerstvem školství, mládeže a tělovýchovy v rámci aktivity na podporu velkých infrastruktur pro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VaVaI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v limitech, které budou stanoveny schválenými výdaji státního rozpočtu ČR na výzkum, vývoj a inovace pro rok 2016 a jeho střednědobý výhled na léta 2017 a 2018. Investiční náklady na další nezbytný technologický rozvoj výzkumných infrastruktur budou financovány využitím prostředků ESIF v rámci OP VVV.</w:t>
      </w:r>
      <w:r w:rsidRPr="00E07EA9">
        <w:rPr>
          <w:rFonts w:asciiTheme="minorHAnsi" w:hAnsiTheme="minorHAnsi" w:cstheme="minorHAnsi"/>
          <w:sz w:val="22"/>
          <w:szCs w:val="22"/>
        </w:rPr>
        <w:t>“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 xml:space="preserve">„Nový model financování“ tedy znamená, že technologické investice a provozní náklady budou zajišťovány vzájemně neprovázaně (mj. proto, že o prostředky pro projekty OP VVV se bude soutěžit a nelze předem stanovit, která infrastruktura uspěje). Výsledkem mohou být a budou </w:t>
      </w:r>
      <w:r w:rsidRPr="00E07EA9">
        <w:rPr>
          <w:rFonts w:asciiTheme="minorHAnsi" w:hAnsiTheme="minorHAnsi" w:cstheme="minorHAnsi"/>
          <w:b/>
          <w:sz w:val="22"/>
          <w:szCs w:val="22"/>
        </w:rPr>
        <w:lastRenderedPageBreak/>
        <w:t>velké infrastruktury bez provozních prostředků (zato se špičkovým  technologickým vybavením) a naopak – velké infrastruktury s provozními prostředky se zastaralým vybavením.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doplnění materiálu o konkrétní údaje o dalších mimorozpočtových zdrojích (zejména zahraničních a podnikových), k jejich získání se celá řada výzkumných infrastruktur zavázala.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Materiál považuje za </w:t>
      </w:r>
      <w:proofErr w:type="spellStart"/>
      <w:r w:rsidRPr="00E07EA9">
        <w:rPr>
          <w:rFonts w:asciiTheme="minorHAnsi" w:hAnsiTheme="minorHAnsi" w:cstheme="minorHAnsi"/>
          <w:sz w:val="22"/>
          <w:szCs w:val="22"/>
        </w:rPr>
        <w:t>vícezdrojové</w:t>
      </w:r>
      <w:proofErr w:type="spellEnd"/>
      <w:r w:rsidRPr="00E07EA9">
        <w:rPr>
          <w:rFonts w:asciiTheme="minorHAnsi" w:hAnsiTheme="minorHAnsi" w:cstheme="minorHAnsi"/>
          <w:sz w:val="22"/>
          <w:szCs w:val="22"/>
        </w:rPr>
        <w:t xml:space="preserve"> financování pouze dva zdroje – výdaje státního rozpočtu a prostředky fondů EU (ESIF), ale významná část činnosti např. center OP </w:t>
      </w:r>
      <w:proofErr w:type="spellStart"/>
      <w:r w:rsidRPr="00E07EA9">
        <w:rPr>
          <w:rFonts w:asciiTheme="minorHAnsi" w:hAnsiTheme="minorHAnsi" w:cstheme="minorHAnsi"/>
          <w:sz w:val="22"/>
          <w:szCs w:val="22"/>
        </w:rPr>
        <w:t>VaVpI</w:t>
      </w:r>
      <w:proofErr w:type="spellEnd"/>
      <w:r w:rsidRPr="00E07EA9">
        <w:rPr>
          <w:rFonts w:asciiTheme="minorHAnsi" w:hAnsiTheme="minorHAnsi" w:cstheme="minorHAnsi"/>
          <w:sz w:val="22"/>
          <w:szCs w:val="22"/>
        </w:rPr>
        <w:t>, která jsou výzkumnými infrastrukturami, má být hrazena z mimorozpočtových zdrojů.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jednoznačné vymezení vazeb předloženého materiálu a materiálů předkládaných rovněž MŠMT k udržitelnosti center výzkumu a vývoje podpořených z Operačního programu Výzkum a vývoj pro inovace (</w:t>
      </w:r>
      <w:proofErr w:type="spellStart"/>
      <w:r w:rsidRPr="00E07EA9">
        <w:rPr>
          <w:rFonts w:asciiTheme="minorHAnsi" w:hAnsiTheme="minorHAnsi" w:cstheme="minorHAnsi"/>
          <w:b/>
          <w:sz w:val="22"/>
          <w:szCs w:val="22"/>
        </w:rPr>
        <w:t>usn</w:t>
      </w:r>
      <w:proofErr w:type="spellEnd"/>
      <w:r w:rsidRPr="00E07EA9">
        <w:rPr>
          <w:rFonts w:asciiTheme="minorHAnsi" w:hAnsiTheme="minorHAnsi" w:cstheme="minorHAnsi"/>
          <w:b/>
          <w:sz w:val="22"/>
          <w:szCs w:val="22"/>
        </w:rPr>
        <w:t>. vlády ze dne 6. srpna 2014 č. 652 atd.), zejména pokud se jedná o způsob financování ze státního rozpočtu a zamezení možných duplicit.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V části III. materiálu na str. 10 je uvedeno „</w:t>
      </w:r>
      <w:r w:rsidRPr="00E07EA9">
        <w:rPr>
          <w:rFonts w:asciiTheme="minorHAnsi" w:hAnsiTheme="minorHAnsi" w:cstheme="minorHAnsi"/>
          <w:i/>
          <w:sz w:val="22"/>
          <w:szCs w:val="22"/>
        </w:rPr>
        <w:t>V mezinárodním hodnotícím procesu výzkumných infrastruktur ČR obdržela vysoce pozitivní hodnocení (tzn. vysoká priorita k financování – A1 a A2) níže uvedená centra OP 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VaVpI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>, resp. v případě BIOCEV a CEITEC jejich výrazné části. Celkem 4 z nich jsou tzv. velkými projekty OP 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VaVpI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z celkového počtu 6  takovýchto projektů. OP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VaVpI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centra BIOCEV a CEITEC přitom zajišťují fungování a provoz většího počtu výzkumných infrastruktur:</w:t>
      </w:r>
    </w:p>
    <w:p w:rsidR="00E07EA9" w:rsidRPr="00E07EA9" w:rsidRDefault="00E07EA9" w:rsidP="00E07EA9">
      <w:pPr>
        <w:numPr>
          <w:ilvl w:val="0"/>
          <w:numId w:val="44"/>
        </w:numPr>
        <w:spacing w:after="60"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7EA9">
        <w:rPr>
          <w:rFonts w:asciiTheme="minorHAnsi" w:hAnsiTheme="minorHAnsi" w:cstheme="minorHAnsi"/>
          <w:i/>
          <w:sz w:val="22"/>
          <w:szCs w:val="22"/>
        </w:rPr>
        <w:t xml:space="preserve">ELI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Beamlines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–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Extreme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Light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07EA9">
        <w:rPr>
          <w:rFonts w:asciiTheme="minorHAnsi" w:hAnsiTheme="minorHAnsi" w:cstheme="minorHAnsi"/>
          <w:i/>
          <w:sz w:val="22"/>
          <w:szCs w:val="22"/>
        </w:rPr>
        <w:t>Infrastructure</w:t>
      </w:r>
      <w:proofErr w:type="spellEnd"/>
      <w:r w:rsidRPr="00E07EA9">
        <w:rPr>
          <w:rFonts w:asciiTheme="minorHAnsi" w:hAnsiTheme="minorHAnsi" w:cstheme="minorHAnsi"/>
          <w:i/>
          <w:sz w:val="22"/>
          <w:szCs w:val="22"/>
        </w:rPr>
        <w:t>;</w:t>
      </w:r>
    </w:p>
    <w:p w:rsidR="00E07EA9" w:rsidRPr="00E07EA9" w:rsidRDefault="00E07EA9" w:rsidP="00E07EA9">
      <w:pPr>
        <w:numPr>
          <w:ilvl w:val="0"/>
          <w:numId w:val="44"/>
        </w:numPr>
        <w:spacing w:after="60"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7EA9">
        <w:rPr>
          <w:rFonts w:asciiTheme="minorHAnsi" w:hAnsiTheme="minorHAnsi" w:cstheme="minorHAnsi"/>
          <w:i/>
          <w:sz w:val="22"/>
          <w:szCs w:val="22"/>
        </w:rPr>
        <w:t>IT4Innovations – Národní superpočítačové centrum;</w:t>
      </w:r>
    </w:p>
    <w:p w:rsidR="00E07EA9" w:rsidRPr="00E07EA9" w:rsidRDefault="00E07EA9" w:rsidP="00E07EA9">
      <w:pPr>
        <w:numPr>
          <w:ilvl w:val="0"/>
          <w:numId w:val="44"/>
        </w:numPr>
        <w:spacing w:after="60" w:line="276" w:lineRule="auto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7EA9">
        <w:rPr>
          <w:rFonts w:asciiTheme="minorHAnsi" w:hAnsiTheme="minorHAnsi" w:cstheme="minorHAnsi"/>
          <w:i/>
          <w:sz w:val="22"/>
          <w:szCs w:val="22"/>
        </w:rPr>
        <w:t>CEITEC – Středoevropský technologický institut;</w:t>
      </w:r>
    </w:p>
    <w:p w:rsidR="00E07EA9" w:rsidRPr="00E07EA9" w:rsidRDefault="00E07EA9" w:rsidP="00E07EA9">
      <w:pPr>
        <w:numPr>
          <w:ilvl w:val="0"/>
          <w:numId w:val="44"/>
        </w:numPr>
        <w:spacing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i/>
          <w:sz w:val="22"/>
          <w:szCs w:val="22"/>
        </w:rPr>
        <w:t>BIOCEV – Biotechnologické a biomedicínské centrum Akademie věd a Univerzity Karlovy ve Vestci.</w:t>
      </w:r>
      <w:r w:rsidRPr="00E07EA9">
        <w:rPr>
          <w:rFonts w:asciiTheme="minorHAnsi" w:hAnsiTheme="minorHAnsi" w:cstheme="minorHAnsi"/>
          <w:sz w:val="22"/>
          <w:szCs w:val="22"/>
        </w:rPr>
        <w:t>“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Projekty velkých infrastruktur a projekty zajišťující udržitelnost center OP </w:t>
      </w:r>
      <w:proofErr w:type="spellStart"/>
      <w:r w:rsidRPr="00E07EA9">
        <w:rPr>
          <w:rFonts w:asciiTheme="minorHAnsi" w:hAnsiTheme="minorHAnsi" w:cstheme="minorHAnsi"/>
          <w:sz w:val="22"/>
          <w:szCs w:val="22"/>
        </w:rPr>
        <w:t>VaVpI</w:t>
      </w:r>
      <w:proofErr w:type="spellEnd"/>
      <w:r w:rsidRPr="00E07EA9">
        <w:rPr>
          <w:rFonts w:asciiTheme="minorHAnsi" w:hAnsiTheme="minorHAnsi" w:cstheme="minorHAnsi"/>
          <w:sz w:val="22"/>
          <w:szCs w:val="22"/>
        </w:rPr>
        <w:t xml:space="preserve"> se tedy částečně překrývají, aniž je uvedeno jak.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doplnění materiálu o zhodnocení jednotlivých výzkumných infrastruktur, jejich dosavadní a navrhované podpory, již dosažených a předpokládaných výsledků a o jednoznačné konstatování obsahu pojmu „priorita financování“.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v části III pouze slovně obecně charakterizuje jednotlivé výzkumné infrastruktury a uvádí skupinu A1 – A4; přitom konstatuje, že „</w:t>
      </w:r>
      <w:r w:rsidRPr="00E07EA9">
        <w:rPr>
          <w:rFonts w:asciiTheme="minorHAnsi" w:hAnsiTheme="minorHAnsi" w:cstheme="minorHAnsi"/>
          <w:i/>
          <w:sz w:val="22"/>
          <w:szCs w:val="22"/>
        </w:rPr>
        <w:t>Souhrnným výstupem hodnocení se stalo 58 výzkumných infrastruktur (z toho 42 vysoce prioritních) doporučených mezinárodní hodnotící komisí k financování a rozdělených do 4 skupin (A1, A2, A3, A4) označujících prioritu pro jejich financování</w:t>
      </w:r>
      <w:r w:rsidRPr="00E07EA9">
        <w:rPr>
          <w:rFonts w:asciiTheme="minorHAnsi" w:hAnsiTheme="minorHAnsi" w:cstheme="minorHAnsi"/>
          <w:sz w:val="22"/>
          <w:szCs w:val="22"/>
        </w:rPr>
        <w:t>“. Není zřejmé, zda budou nejprve vládě předložena skupina A1 atd. až do výše disponibilních prostředků nebo co pojem „priorita financování“ vlastně znamená.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lastRenderedPageBreak/>
        <w:t>Žádáme návazně na připomínku č. 1 o právní vymezení rozdílu mezi výzkumnou infrastrukturou a výzkumnou organizací, zejména z hlediska jejich financování ze státního rozpočtu.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se deklaruje jako komplexní hodnocení výzkumných infrastruktur, ale z její definice vyplývá, že „</w:t>
      </w:r>
      <w:r w:rsidRPr="00E07EA9">
        <w:rPr>
          <w:rFonts w:asciiTheme="minorHAnsi" w:hAnsiTheme="minorHAnsi" w:cstheme="minorHAnsi"/>
          <w:i/>
          <w:sz w:val="22"/>
          <w:szCs w:val="22"/>
        </w:rPr>
        <w:t xml:space="preserve">Výzkumnou infrastrukturou se rozumí zařízení, zdroje a související služby, které vědecká obec využívá k provádění výzkumu v příslušných oborech, zahrnující vědecké vybavení a výzkumný materiál, … </w:t>
      </w:r>
      <w:r w:rsidRPr="00E07EA9">
        <w:rPr>
          <w:rFonts w:asciiTheme="minorHAnsi" w:hAnsiTheme="minorHAnsi" w:cstheme="minorHAnsi"/>
          <w:sz w:val="22"/>
          <w:szCs w:val="22"/>
        </w:rPr>
        <w:t>Jak z materiálu vyplývá, nebyly hodnoceny pouze výzkumné infrastruktury (zařízení, zdroje a související služby), ale i jejich činnost, která je identická s </w:t>
      </w:r>
      <w:proofErr w:type="spellStart"/>
      <w:r w:rsidRPr="00E07EA9">
        <w:rPr>
          <w:rFonts w:asciiTheme="minorHAnsi" w:hAnsiTheme="minorHAnsi" w:cstheme="minorHAnsi"/>
          <w:sz w:val="22"/>
          <w:szCs w:val="22"/>
        </w:rPr>
        <w:t>nehospodářskou</w:t>
      </w:r>
      <w:proofErr w:type="spellEnd"/>
      <w:r w:rsidRPr="00E07EA9">
        <w:rPr>
          <w:rFonts w:asciiTheme="minorHAnsi" w:hAnsiTheme="minorHAnsi" w:cstheme="minorHAnsi"/>
          <w:sz w:val="22"/>
          <w:szCs w:val="22"/>
        </w:rPr>
        <w:t xml:space="preserve"> činností výzkumné organizace podle Rámce pro státní podporu výzkumu, vývoje a inovací ((2014/C 198/01). Bez ohledu na ujištění předkladatele je účel podpory identický a podpora může být duplicitní s podporu na rozvoj výzkumných organizací atd.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 doplnění dopracovaného materiálu o metodiku hodnocení velkých infrastruktur pro výzkum, experimentální vývoj a inovace (např. formou přílohy materiálu) a způsob jejího projednání a schválení.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se na řadě míst odvolává na provedené mezinárodní hodnocení (např. Předkládací zpráva, str. 2, poslední odst.: „</w:t>
      </w:r>
      <w:r w:rsidRPr="00E07EA9">
        <w:rPr>
          <w:rFonts w:asciiTheme="minorHAnsi" w:hAnsiTheme="minorHAnsi" w:cstheme="minorHAnsi"/>
          <w:i/>
          <w:sz w:val="22"/>
          <w:szCs w:val="22"/>
        </w:rPr>
        <w:t>Provedený proces komplexního zhodnocení výzkumných infrastruktur ČR lze považovat za klíčový mezník ve vývoji agendy výzkumných infrastruktur ČR</w:t>
      </w:r>
      <w:r w:rsidRPr="00E07EA9">
        <w:rPr>
          <w:rFonts w:asciiTheme="minorHAnsi" w:hAnsiTheme="minorHAnsi" w:cstheme="minorHAnsi"/>
          <w:sz w:val="22"/>
          <w:szCs w:val="22"/>
        </w:rPr>
        <w:t>“, jehož metodika (kritéria, způsob hodnocení, výběr hodnocených projektů atd.) v materiálu chybí.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Materiál nehodnotí všechny výzkumné infrastruktury, jak uvádí, ale jen ty, které se přihlásily do výzvy MŠMT, která měla řadu omezujících podmínek (tzv. čtyři atributy uvedené ve výzvě MŠMT).</w:t>
      </w:r>
      <w:r w:rsidRPr="00E07EA9">
        <w:rPr>
          <w:rFonts w:asciiTheme="minorHAnsi" w:hAnsiTheme="minorHAnsi" w:cstheme="minorHAnsi"/>
          <w:b/>
          <w:sz w:val="22"/>
          <w:szCs w:val="22"/>
        </w:rPr>
        <w:t xml:space="preserve"> Žádáme návazně na připomínku č. 1 o doplnění materiálu o hodnocení všech výzkumných infrastruktur ČR.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Předkládací zpráva na str. 1, poslední odst. uvádí „</w:t>
      </w:r>
      <w:r w:rsidRPr="00E07EA9">
        <w:rPr>
          <w:rFonts w:asciiTheme="minorHAnsi" w:hAnsiTheme="minorHAnsi" w:cstheme="minorHAnsi"/>
          <w:i/>
          <w:sz w:val="22"/>
          <w:szCs w:val="22"/>
        </w:rPr>
        <w:t>Předmětem hodnocení se tak staly všechny výzkumné infrastruktury ČR, a to nezávisle na způsobu jejich dosavadního zdroje financování (výdaje státního rozpočtu ČR nebo ERDF)</w:t>
      </w:r>
      <w:r w:rsidRPr="00E07EA9">
        <w:rPr>
          <w:rFonts w:asciiTheme="minorHAnsi" w:hAnsiTheme="minorHAnsi" w:cstheme="minorHAnsi"/>
          <w:sz w:val="22"/>
          <w:szCs w:val="22"/>
        </w:rPr>
        <w:t xml:space="preserve">“. Čtyři atributy uvedené ve výzvě MŠMT ale definici výzkumné infrastruktury významně omezily a navíc je diskutabilní, zda uvedené výzkumné infrastruktury je všechny skutečně splňují (např. splňují atribut </w:t>
      </w:r>
      <w:r w:rsidRPr="00E07EA9">
        <w:rPr>
          <w:rFonts w:asciiTheme="minorHAnsi" w:hAnsiTheme="minorHAnsi" w:cstheme="minorHAnsi"/>
          <w:i/>
          <w:sz w:val="22"/>
          <w:szCs w:val="22"/>
        </w:rPr>
        <w:t>b) Uživatelská strategie – „Podstatná část uživatelů VI by přitom měla pocházet z prostředí mimo hostitelskou instituci.“</w:t>
      </w:r>
      <w:r w:rsidRPr="00E07EA9">
        <w:rPr>
          <w:rFonts w:asciiTheme="minorHAnsi" w:hAnsiTheme="minorHAnsi" w:cstheme="minorHAnsi"/>
          <w:sz w:val="22"/>
          <w:szCs w:val="22"/>
        </w:rPr>
        <w:t xml:space="preserve"> výzkumné infrastruktury uvedené ve  zdůvodnění připomínky č. 7?).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E07EA9" w:rsidRPr="00E07EA9" w:rsidRDefault="00E07EA9" w:rsidP="00E07EA9">
      <w:pPr>
        <w:numPr>
          <w:ilvl w:val="0"/>
          <w:numId w:val="43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V předkládací zprávě není uvedeno povinné hodnocení dopadů na rovnost mužů a žen, ani na podnikatelské prostředí České republiky. </w:t>
      </w:r>
      <w:r w:rsidRPr="00E07EA9">
        <w:rPr>
          <w:rFonts w:asciiTheme="minorHAnsi" w:hAnsiTheme="minorHAnsi" w:cstheme="minorHAnsi"/>
          <w:b/>
          <w:sz w:val="22"/>
          <w:szCs w:val="22"/>
        </w:rPr>
        <w:t>Žádáme návazně na připomínku č. 1 o</w:t>
      </w:r>
      <w:r w:rsidRPr="00E07EA9">
        <w:rPr>
          <w:rFonts w:asciiTheme="minorHAnsi" w:hAnsiTheme="minorHAnsi" w:cstheme="minorHAnsi"/>
          <w:sz w:val="22"/>
          <w:szCs w:val="22"/>
        </w:rPr>
        <w:t xml:space="preserve"> </w:t>
      </w:r>
      <w:r w:rsidRPr="00E07EA9">
        <w:rPr>
          <w:rFonts w:asciiTheme="minorHAnsi" w:hAnsiTheme="minorHAnsi" w:cstheme="minorHAnsi"/>
          <w:b/>
          <w:sz w:val="22"/>
          <w:szCs w:val="22"/>
        </w:rPr>
        <w:t>doplnění zejména o zhodnocení konkrétních dopadů navrhovaných opatření na podnikatelské prostředí a o rozeslání úplného materiálu do nového meziresortního připomínkového řízení.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07EA9">
        <w:rPr>
          <w:rFonts w:asciiTheme="minorHAnsi" w:hAnsiTheme="minorHAnsi" w:cstheme="minorHAnsi"/>
          <w:i/>
          <w:sz w:val="22"/>
          <w:szCs w:val="22"/>
          <w:u w:val="single"/>
        </w:rPr>
        <w:t>Odůvodnění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Zhodnocení dopadů navržených opatření musí být součástí materiálu.</w:t>
      </w:r>
    </w:p>
    <w:p w:rsidR="00E07EA9" w:rsidRPr="00E07EA9" w:rsidRDefault="00E07EA9" w:rsidP="00E07EA9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EA9">
        <w:rPr>
          <w:rFonts w:asciiTheme="minorHAnsi" w:hAnsiTheme="minorHAnsi" w:cstheme="minorHAnsi"/>
          <w:b/>
          <w:sz w:val="22"/>
          <w:szCs w:val="22"/>
        </w:rPr>
        <w:t>Zásadní připomínka.</w:t>
      </w:r>
    </w:p>
    <w:p w:rsidR="00640E28" w:rsidRDefault="00640E28" w:rsidP="00E07EA9">
      <w:pPr>
        <w:spacing w:after="60"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640E28" w:rsidRDefault="00640E28" w:rsidP="00EB0B6E">
      <w:pPr>
        <w:pStyle w:val="Zkladntext"/>
        <w:jc w:val="left"/>
        <w:rPr>
          <w:rFonts w:ascii="Calibri" w:hAnsi="Calibri" w:cs="Calibri"/>
          <w:sz w:val="22"/>
          <w:szCs w:val="22"/>
        </w:rPr>
      </w:pPr>
    </w:p>
    <w:p w:rsidR="005F4983" w:rsidRPr="00E07EA9" w:rsidRDefault="00E07EA9" w:rsidP="005F4983">
      <w:pPr>
        <w:spacing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>Kontaktní osoba:</w:t>
      </w:r>
      <w:r w:rsidR="005F4983" w:rsidRPr="00E07EA9">
        <w:rPr>
          <w:rFonts w:asciiTheme="minorHAnsi" w:hAnsiTheme="minorHAnsi" w:cstheme="minorHAnsi"/>
          <w:sz w:val="22"/>
          <w:szCs w:val="22"/>
        </w:rPr>
        <w:t xml:space="preserve"> Ing. Jan Proksch, tel.: 225 279 205, e-mail: </w:t>
      </w:r>
      <w:proofErr w:type="spellStart"/>
      <w:r w:rsidR="005F4983" w:rsidRPr="00E07EA9">
        <w:rPr>
          <w:rFonts w:asciiTheme="minorHAnsi" w:hAnsiTheme="minorHAnsi" w:cstheme="minorHAnsi"/>
          <w:sz w:val="22"/>
          <w:szCs w:val="22"/>
        </w:rPr>
        <w:t>jproksch</w:t>
      </w:r>
      <w:proofErr w:type="spellEnd"/>
      <w:r w:rsidR="005F4983" w:rsidRPr="00E07EA9">
        <w:rPr>
          <w:rFonts w:asciiTheme="minorHAnsi" w:hAnsiTheme="minorHAnsi" w:cstheme="minorHAnsi"/>
          <w:sz w:val="22"/>
          <w:szCs w:val="22"/>
        </w:rPr>
        <w:t>@spcr.cz.</w:t>
      </w:r>
    </w:p>
    <w:p w:rsidR="00640E28" w:rsidRPr="00E07EA9" w:rsidRDefault="00640E28" w:rsidP="00EB0B6E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640E28" w:rsidRPr="00E07EA9" w:rsidRDefault="00640E28" w:rsidP="00EB0B6E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640E28" w:rsidRPr="00E07EA9" w:rsidRDefault="00640E28" w:rsidP="00EB0B6E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EB0B6E" w:rsidRPr="00E07EA9" w:rsidRDefault="00EB0B6E" w:rsidP="00EB0B6E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E07EA9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E07EA9" w:rsidRPr="00E07EA9">
        <w:rPr>
          <w:rFonts w:asciiTheme="minorHAnsi" w:hAnsiTheme="minorHAnsi" w:cstheme="minorHAnsi"/>
          <w:sz w:val="22"/>
          <w:szCs w:val="22"/>
        </w:rPr>
        <w:t>3</w:t>
      </w:r>
      <w:r w:rsidR="009838FC" w:rsidRPr="00E07EA9">
        <w:rPr>
          <w:rFonts w:asciiTheme="minorHAnsi" w:hAnsiTheme="minorHAnsi" w:cstheme="minorHAnsi"/>
          <w:sz w:val="22"/>
          <w:szCs w:val="22"/>
        </w:rPr>
        <w:t xml:space="preserve">. </w:t>
      </w:r>
      <w:r w:rsidR="00E07EA9" w:rsidRPr="00E07EA9">
        <w:rPr>
          <w:rFonts w:asciiTheme="minorHAnsi" w:hAnsiTheme="minorHAnsi" w:cstheme="minorHAnsi"/>
          <w:sz w:val="22"/>
          <w:szCs w:val="22"/>
        </w:rPr>
        <w:t>dubna 2015</w:t>
      </w:r>
    </w:p>
    <w:sectPr w:rsidR="00EB0B6E" w:rsidRPr="00E07EA9" w:rsidSect="00566AE9">
      <w:footerReference w:type="default" r:id="rId7"/>
      <w:headerReference w:type="first" r:id="rId8"/>
      <w:footerReference w:type="first" r:id="rId9"/>
      <w:type w:val="continuous"/>
      <w:pgSz w:w="11906" w:h="16838"/>
      <w:pgMar w:top="1701" w:right="1418" w:bottom="1135" w:left="1418" w:header="992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44" w:rsidRDefault="00770744">
      <w:r>
        <w:separator/>
      </w:r>
    </w:p>
  </w:endnote>
  <w:endnote w:type="continuationSeparator" w:id="0">
    <w:p w:rsidR="00770744" w:rsidRDefault="0077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C0" w:rsidRDefault="00AA071A">
    <w:pPr>
      <w:pStyle w:val="Zpat"/>
      <w:jc w:val="right"/>
    </w:pPr>
    <w:r>
      <w:fldChar w:fldCharType="begin"/>
    </w:r>
    <w:r w:rsidR="0011690C">
      <w:instrText xml:space="preserve"> PAGE   \* MERGEFORMAT </w:instrText>
    </w:r>
    <w:r>
      <w:fldChar w:fldCharType="separate"/>
    </w:r>
    <w:r w:rsidR="00E07EA9">
      <w:rPr>
        <w:noProof/>
      </w:rPr>
      <w:t>5</w:t>
    </w:r>
    <w:r>
      <w:fldChar w:fldCharType="end"/>
    </w:r>
  </w:p>
  <w:p w:rsidR="00BB4DC0" w:rsidRDefault="00BB4D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84" w:rsidRDefault="008F5E18" w:rsidP="008C4284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284" w:rsidRPr="00B94002">
      <w:rPr>
        <w:rFonts w:ascii="CG Omega" w:hAnsi="CG Omega"/>
        <w:noProof/>
        <w:color w:val="005FA4"/>
        <w:sz w:val="16"/>
      </w:rPr>
      <w:t xml:space="preserve">Freyova 948/11, </w:t>
    </w:r>
    <w:r w:rsidR="0085793A">
      <w:rPr>
        <w:rFonts w:ascii="CG Omega" w:hAnsi="CG Omega"/>
        <w:noProof/>
        <w:color w:val="005FA4"/>
        <w:sz w:val="16"/>
      </w:rPr>
      <w:t>190 00</w:t>
    </w:r>
    <w:r w:rsidR="008C4284" w:rsidRPr="00B94002">
      <w:rPr>
        <w:rFonts w:ascii="CG Omega" w:hAnsi="CG Omega"/>
        <w:noProof/>
        <w:color w:val="005FA4"/>
        <w:sz w:val="16"/>
      </w:rPr>
      <w:t xml:space="preserve">  Praha 9</w:t>
    </w:r>
    <w:r w:rsidR="008C4284">
      <w:rPr>
        <w:rFonts w:ascii="CG Omega" w:hAnsi="CG Omega"/>
        <w:color w:val="005FA4"/>
        <w:sz w:val="16"/>
      </w:rPr>
      <w:tab/>
    </w:r>
    <w:r w:rsidR="008C4284">
      <w:rPr>
        <w:rFonts w:ascii="CG Omega" w:hAnsi="CG Omega"/>
        <w:color w:val="005FA4"/>
        <w:sz w:val="16"/>
      </w:rPr>
      <w:tab/>
    </w:r>
  </w:p>
  <w:p w:rsidR="008C4284" w:rsidRDefault="008C4284" w:rsidP="008C4284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8C4284" w:rsidRPr="00587D54" w:rsidRDefault="008C4284" w:rsidP="008C4284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>e-mail: spcr</w:t>
    </w:r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  <w:p w:rsidR="008C4284" w:rsidRDefault="008C42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44" w:rsidRDefault="00770744">
      <w:r>
        <w:separator/>
      </w:r>
    </w:p>
  </w:footnote>
  <w:footnote w:type="continuationSeparator" w:id="0">
    <w:p w:rsidR="00770744" w:rsidRDefault="0077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84" w:rsidRPr="00EF65E4" w:rsidRDefault="008F5E18" w:rsidP="008C4284">
    <w:pPr>
      <w:pStyle w:val="Zhlav"/>
      <w:tabs>
        <w:tab w:val="clear" w:pos="4536"/>
        <w:tab w:val="left" w:pos="1134"/>
        <w:tab w:val="left" w:pos="6663"/>
      </w:tabs>
      <w:rPr>
        <w:rFonts w:ascii="CG Omega" w:hAnsi="CG Omega" w:cs="Raav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1" name="obrázek 10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284">
      <w:rPr>
        <w:rFonts w:ascii="CG Omega" w:hAnsi="CG Omega" w:cs="Raavi"/>
        <w:color w:val="005FA4"/>
        <w:sz w:val="24"/>
        <w:szCs w:val="24"/>
      </w:rPr>
      <w:tab/>
    </w:r>
    <w:r w:rsidR="008C4284" w:rsidRPr="00EF65E4">
      <w:rPr>
        <w:rFonts w:ascii="CG Omega" w:hAnsi="CG Omega" w:cs="Raavi"/>
        <w:color w:val="005FA4"/>
        <w:sz w:val="24"/>
        <w:szCs w:val="24"/>
      </w:rPr>
      <w:t>Svaz průmyslu a dopravy České republiky</w:t>
    </w:r>
  </w:p>
  <w:p w:rsidR="008C4284" w:rsidRPr="00EF65E4" w:rsidRDefault="008C4284" w:rsidP="008C4284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="CG Omega" w:hAnsi="CG Omega" w:cs="Raavi"/>
        <w:color w:val="005FA4"/>
        <w:sz w:val="24"/>
        <w:szCs w:val="24"/>
      </w:rPr>
    </w:pPr>
    <w:r w:rsidRPr="00EF65E4">
      <w:rPr>
        <w:rFonts w:ascii="CG Omega" w:hAnsi="CG Omega" w:cs="Raavi"/>
        <w:color w:val="005FA4"/>
        <w:sz w:val="24"/>
        <w:szCs w:val="24"/>
      </w:rPr>
      <w:t>Confederation of Industry of the Czech Republic</w:t>
    </w:r>
  </w:p>
  <w:p w:rsidR="008C4284" w:rsidRDefault="008C42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59"/>
    <w:multiLevelType w:val="hybridMultilevel"/>
    <w:tmpl w:val="0DB8CE98"/>
    <w:lvl w:ilvl="0" w:tplc="12280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84BA9"/>
    <w:multiLevelType w:val="hybridMultilevel"/>
    <w:tmpl w:val="4BBE4276"/>
    <w:lvl w:ilvl="0" w:tplc="75329F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03A"/>
    <w:multiLevelType w:val="hybridMultilevel"/>
    <w:tmpl w:val="97285BFC"/>
    <w:lvl w:ilvl="0" w:tplc="51246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4A55"/>
    <w:multiLevelType w:val="hybridMultilevel"/>
    <w:tmpl w:val="E594FB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65397"/>
    <w:multiLevelType w:val="hybridMultilevel"/>
    <w:tmpl w:val="207EF4D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9662F6A"/>
    <w:multiLevelType w:val="hybridMultilevel"/>
    <w:tmpl w:val="65968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D4AB3"/>
    <w:multiLevelType w:val="hybridMultilevel"/>
    <w:tmpl w:val="F460C4B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0791943"/>
    <w:multiLevelType w:val="hybridMultilevel"/>
    <w:tmpl w:val="BA8E6242"/>
    <w:lvl w:ilvl="0" w:tplc="784EE5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003B2"/>
    <w:multiLevelType w:val="hybridMultilevel"/>
    <w:tmpl w:val="AF606E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A769EF"/>
    <w:multiLevelType w:val="hybridMultilevel"/>
    <w:tmpl w:val="53681C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8A94630"/>
    <w:multiLevelType w:val="hybridMultilevel"/>
    <w:tmpl w:val="0DB8CE98"/>
    <w:lvl w:ilvl="0" w:tplc="12280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32958"/>
    <w:multiLevelType w:val="hybridMultilevel"/>
    <w:tmpl w:val="4A44921E"/>
    <w:lvl w:ilvl="0" w:tplc="ED928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CC5C28"/>
    <w:multiLevelType w:val="hybridMultilevel"/>
    <w:tmpl w:val="82C64618"/>
    <w:lvl w:ilvl="0" w:tplc="FEE2E110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14C89"/>
    <w:multiLevelType w:val="hybridMultilevel"/>
    <w:tmpl w:val="A89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9022B"/>
    <w:multiLevelType w:val="hybridMultilevel"/>
    <w:tmpl w:val="7A62A824"/>
    <w:lvl w:ilvl="0" w:tplc="C10427D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4424C"/>
    <w:multiLevelType w:val="hybridMultilevel"/>
    <w:tmpl w:val="590A6394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A094633"/>
    <w:multiLevelType w:val="hybridMultilevel"/>
    <w:tmpl w:val="9A7E7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97277"/>
    <w:multiLevelType w:val="hybridMultilevel"/>
    <w:tmpl w:val="FB28DDB8"/>
    <w:lvl w:ilvl="0" w:tplc="764C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15F26"/>
    <w:multiLevelType w:val="hybridMultilevel"/>
    <w:tmpl w:val="E2928C82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01">
      <w:start w:val="1"/>
      <w:numFmt w:val="bullet"/>
      <w:lvlText w:val=""/>
      <w:lvlJc w:val="left"/>
      <w:pPr>
        <w:ind w:left="287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3D41337"/>
    <w:multiLevelType w:val="hybridMultilevel"/>
    <w:tmpl w:val="8C60A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1309F"/>
    <w:multiLevelType w:val="hybridMultilevel"/>
    <w:tmpl w:val="AF606E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FF32EB"/>
    <w:multiLevelType w:val="hybridMultilevel"/>
    <w:tmpl w:val="7A62A824"/>
    <w:lvl w:ilvl="0" w:tplc="C10427D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31E9E"/>
    <w:multiLevelType w:val="hybridMultilevel"/>
    <w:tmpl w:val="208CFE30"/>
    <w:lvl w:ilvl="0" w:tplc="4AEE0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933F6"/>
    <w:multiLevelType w:val="hybridMultilevel"/>
    <w:tmpl w:val="A1B05710"/>
    <w:lvl w:ilvl="0" w:tplc="0B42496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960CC"/>
    <w:multiLevelType w:val="hybridMultilevel"/>
    <w:tmpl w:val="81ECB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2626C"/>
    <w:multiLevelType w:val="hybridMultilevel"/>
    <w:tmpl w:val="17825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45688"/>
    <w:multiLevelType w:val="hybridMultilevel"/>
    <w:tmpl w:val="DEDC2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62FD6"/>
    <w:multiLevelType w:val="hybridMultilevel"/>
    <w:tmpl w:val="E2125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F071F"/>
    <w:multiLevelType w:val="hybridMultilevel"/>
    <w:tmpl w:val="B66AA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6073"/>
    <w:multiLevelType w:val="hybridMultilevel"/>
    <w:tmpl w:val="D93C7D2A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01">
      <w:start w:val="1"/>
      <w:numFmt w:val="bullet"/>
      <w:lvlText w:val=""/>
      <w:lvlJc w:val="left"/>
      <w:pPr>
        <w:ind w:left="287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A6A6D8A"/>
    <w:multiLevelType w:val="hybridMultilevel"/>
    <w:tmpl w:val="39FE1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17B42"/>
    <w:multiLevelType w:val="hybridMultilevel"/>
    <w:tmpl w:val="A9D0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E1CA5"/>
    <w:multiLevelType w:val="hybridMultilevel"/>
    <w:tmpl w:val="44086E26"/>
    <w:lvl w:ilvl="0" w:tplc="FEE2E110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A48A3"/>
    <w:multiLevelType w:val="multilevel"/>
    <w:tmpl w:val="C7D0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F8A03DE"/>
    <w:multiLevelType w:val="hybridMultilevel"/>
    <w:tmpl w:val="F8021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315EF"/>
    <w:multiLevelType w:val="hybridMultilevel"/>
    <w:tmpl w:val="DBEC8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2813C4"/>
    <w:multiLevelType w:val="hybridMultilevel"/>
    <w:tmpl w:val="E6E810E2"/>
    <w:lvl w:ilvl="0" w:tplc="FEE2E110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FEE42EC">
      <w:start w:val="1"/>
      <w:numFmt w:val="bullet"/>
      <w:lvlText w:val="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367AA"/>
    <w:multiLevelType w:val="hybridMultilevel"/>
    <w:tmpl w:val="6F08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D6384"/>
    <w:multiLevelType w:val="hybridMultilevel"/>
    <w:tmpl w:val="203ABF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21E9"/>
    <w:multiLevelType w:val="hybridMultilevel"/>
    <w:tmpl w:val="2E9E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A436C"/>
    <w:multiLevelType w:val="hybridMultilevel"/>
    <w:tmpl w:val="A55406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7"/>
  </w:num>
  <w:num w:numId="4">
    <w:abstractNumId w:val="14"/>
  </w:num>
  <w:num w:numId="5">
    <w:abstractNumId w:val="39"/>
  </w:num>
  <w:num w:numId="6">
    <w:abstractNumId w:val="20"/>
  </w:num>
  <w:num w:numId="7">
    <w:abstractNumId w:val="27"/>
  </w:num>
  <w:num w:numId="8">
    <w:abstractNumId w:val="32"/>
  </w:num>
  <w:num w:numId="9">
    <w:abstractNumId w:val="1"/>
  </w:num>
  <w:num w:numId="10">
    <w:abstractNumId w:val="35"/>
  </w:num>
  <w:num w:numId="11">
    <w:abstractNumId w:val="5"/>
  </w:num>
  <w:num w:numId="12">
    <w:abstractNumId w:val="34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9"/>
  </w:num>
  <w:num w:numId="18">
    <w:abstractNumId w:val="4"/>
  </w:num>
  <w:num w:numId="19">
    <w:abstractNumId w:val="30"/>
  </w:num>
  <w:num w:numId="20">
    <w:abstractNumId w:val="16"/>
  </w:num>
  <w:num w:numId="21">
    <w:abstractNumId w:val="23"/>
  </w:num>
  <w:num w:numId="22">
    <w:abstractNumId w:val="19"/>
  </w:num>
  <w:num w:numId="23">
    <w:abstractNumId w:val="42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1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7"/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E14D4"/>
    <w:rsid w:val="00002430"/>
    <w:rsid w:val="00015A35"/>
    <w:rsid w:val="00050672"/>
    <w:rsid w:val="000538FC"/>
    <w:rsid w:val="0006655D"/>
    <w:rsid w:val="000711F8"/>
    <w:rsid w:val="000712BF"/>
    <w:rsid w:val="000721D7"/>
    <w:rsid w:val="00093318"/>
    <w:rsid w:val="000A1AC4"/>
    <w:rsid w:val="000B6FCA"/>
    <w:rsid w:val="000C1CCD"/>
    <w:rsid w:val="000E0B05"/>
    <w:rsid w:val="000F41B1"/>
    <w:rsid w:val="001017BE"/>
    <w:rsid w:val="0011690C"/>
    <w:rsid w:val="00123A03"/>
    <w:rsid w:val="00146EE6"/>
    <w:rsid w:val="00171795"/>
    <w:rsid w:val="0019279B"/>
    <w:rsid w:val="00195BE5"/>
    <w:rsid w:val="001A0EED"/>
    <w:rsid w:val="001A2C52"/>
    <w:rsid w:val="001D552C"/>
    <w:rsid w:val="001D5D41"/>
    <w:rsid w:val="001F5E2B"/>
    <w:rsid w:val="002147E3"/>
    <w:rsid w:val="002148EB"/>
    <w:rsid w:val="00233DC9"/>
    <w:rsid w:val="0024100F"/>
    <w:rsid w:val="00241369"/>
    <w:rsid w:val="0026315A"/>
    <w:rsid w:val="00270BD0"/>
    <w:rsid w:val="00273377"/>
    <w:rsid w:val="002A056E"/>
    <w:rsid w:val="002C2EB2"/>
    <w:rsid w:val="002C3499"/>
    <w:rsid w:val="002F1ACD"/>
    <w:rsid w:val="002F2412"/>
    <w:rsid w:val="00307F00"/>
    <w:rsid w:val="00311EFB"/>
    <w:rsid w:val="003122D2"/>
    <w:rsid w:val="003326E6"/>
    <w:rsid w:val="003370C6"/>
    <w:rsid w:val="0034035A"/>
    <w:rsid w:val="00341ADC"/>
    <w:rsid w:val="00352C9D"/>
    <w:rsid w:val="0035777F"/>
    <w:rsid w:val="0036516B"/>
    <w:rsid w:val="003652B3"/>
    <w:rsid w:val="00385270"/>
    <w:rsid w:val="00394FD5"/>
    <w:rsid w:val="00396EF8"/>
    <w:rsid w:val="003B2382"/>
    <w:rsid w:val="003E7BA4"/>
    <w:rsid w:val="0040042D"/>
    <w:rsid w:val="00404034"/>
    <w:rsid w:val="00411B37"/>
    <w:rsid w:val="00421B2C"/>
    <w:rsid w:val="00430101"/>
    <w:rsid w:val="00433E40"/>
    <w:rsid w:val="004343BA"/>
    <w:rsid w:val="004445E2"/>
    <w:rsid w:val="00453923"/>
    <w:rsid w:val="004626C4"/>
    <w:rsid w:val="0047139D"/>
    <w:rsid w:val="00472C6D"/>
    <w:rsid w:val="00496D25"/>
    <w:rsid w:val="004A0ECF"/>
    <w:rsid w:val="004A2979"/>
    <w:rsid w:val="004C3388"/>
    <w:rsid w:val="004D1445"/>
    <w:rsid w:val="004D21E4"/>
    <w:rsid w:val="004E588A"/>
    <w:rsid w:val="004E58FE"/>
    <w:rsid w:val="004F0DF4"/>
    <w:rsid w:val="00500ABF"/>
    <w:rsid w:val="0050201F"/>
    <w:rsid w:val="00516FB6"/>
    <w:rsid w:val="00527BD9"/>
    <w:rsid w:val="00566AE9"/>
    <w:rsid w:val="00574DEE"/>
    <w:rsid w:val="00577009"/>
    <w:rsid w:val="005841B8"/>
    <w:rsid w:val="00584957"/>
    <w:rsid w:val="00587D54"/>
    <w:rsid w:val="00593B1D"/>
    <w:rsid w:val="005B025C"/>
    <w:rsid w:val="005B1027"/>
    <w:rsid w:val="005C1F95"/>
    <w:rsid w:val="005C3774"/>
    <w:rsid w:val="005E1681"/>
    <w:rsid w:val="005F451A"/>
    <w:rsid w:val="005F4983"/>
    <w:rsid w:val="00615B61"/>
    <w:rsid w:val="00616389"/>
    <w:rsid w:val="00621B47"/>
    <w:rsid w:val="006262CB"/>
    <w:rsid w:val="00637610"/>
    <w:rsid w:val="00640932"/>
    <w:rsid w:val="00640AB4"/>
    <w:rsid w:val="00640E28"/>
    <w:rsid w:val="006467D7"/>
    <w:rsid w:val="006472EA"/>
    <w:rsid w:val="00671B89"/>
    <w:rsid w:val="0067718D"/>
    <w:rsid w:val="00677907"/>
    <w:rsid w:val="00682983"/>
    <w:rsid w:val="00690850"/>
    <w:rsid w:val="006928C4"/>
    <w:rsid w:val="00693884"/>
    <w:rsid w:val="006C5382"/>
    <w:rsid w:val="006D0310"/>
    <w:rsid w:val="006D194E"/>
    <w:rsid w:val="006D34A3"/>
    <w:rsid w:val="006D4347"/>
    <w:rsid w:val="006D65BA"/>
    <w:rsid w:val="006D677E"/>
    <w:rsid w:val="006E14D4"/>
    <w:rsid w:val="006E44C9"/>
    <w:rsid w:val="006F0098"/>
    <w:rsid w:val="006F4CC2"/>
    <w:rsid w:val="007100EE"/>
    <w:rsid w:val="00727D99"/>
    <w:rsid w:val="00732740"/>
    <w:rsid w:val="00750836"/>
    <w:rsid w:val="007604C1"/>
    <w:rsid w:val="0076145D"/>
    <w:rsid w:val="00765261"/>
    <w:rsid w:val="00766799"/>
    <w:rsid w:val="00770744"/>
    <w:rsid w:val="00775AA4"/>
    <w:rsid w:val="0078247A"/>
    <w:rsid w:val="00793E4B"/>
    <w:rsid w:val="007A01BB"/>
    <w:rsid w:val="007B25C2"/>
    <w:rsid w:val="007C2784"/>
    <w:rsid w:val="007C72E9"/>
    <w:rsid w:val="007D5038"/>
    <w:rsid w:val="007D64F6"/>
    <w:rsid w:val="007D6A23"/>
    <w:rsid w:val="007F7BF5"/>
    <w:rsid w:val="0080509F"/>
    <w:rsid w:val="00813D70"/>
    <w:rsid w:val="00815197"/>
    <w:rsid w:val="00827CF6"/>
    <w:rsid w:val="00834564"/>
    <w:rsid w:val="00840C14"/>
    <w:rsid w:val="0085793A"/>
    <w:rsid w:val="0086132B"/>
    <w:rsid w:val="00875071"/>
    <w:rsid w:val="00875CD5"/>
    <w:rsid w:val="00875E90"/>
    <w:rsid w:val="00884BB5"/>
    <w:rsid w:val="008A25C0"/>
    <w:rsid w:val="008A47A0"/>
    <w:rsid w:val="008B73A2"/>
    <w:rsid w:val="008C2631"/>
    <w:rsid w:val="008C4284"/>
    <w:rsid w:val="008D0F85"/>
    <w:rsid w:val="008E27CA"/>
    <w:rsid w:val="008F5C9F"/>
    <w:rsid w:val="008F5E18"/>
    <w:rsid w:val="00914719"/>
    <w:rsid w:val="009304EF"/>
    <w:rsid w:val="00933CD2"/>
    <w:rsid w:val="00936E8B"/>
    <w:rsid w:val="00975CCF"/>
    <w:rsid w:val="009838FC"/>
    <w:rsid w:val="0099755B"/>
    <w:rsid w:val="00997910"/>
    <w:rsid w:val="009A4E03"/>
    <w:rsid w:val="009B4A41"/>
    <w:rsid w:val="009C0545"/>
    <w:rsid w:val="009C622D"/>
    <w:rsid w:val="009E3388"/>
    <w:rsid w:val="009F2B00"/>
    <w:rsid w:val="009F2E19"/>
    <w:rsid w:val="00A02AFE"/>
    <w:rsid w:val="00A0490A"/>
    <w:rsid w:val="00A37080"/>
    <w:rsid w:val="00A52181"/>
    <w:rsid w:val="00A5253E"/>
    <w:rsid w:val="00A61A5B"/>
    <w:rsid w:val="00A65856"/>
    <w:rsid w:val="00A77B80"/>
    <w:rsid w:val="00A84774"/>
    <w:rsid w:val="00A9630C"/>
    <w:rsid w:val="00AA071A"/>
    <w:rsid w:val="00AA5B1E"/>
    <w:rsid w:val="00AB5818"/>
    <w:rsid w:val="00AD1B34"/>
    <w:rsid w:val="00AD4202"/>
    <w:rsid w:val="00AD7AE7"/>
    <w:rsid w:val="00AE387A"/>
    <w:rsid w:val="00B036FA"/>
    <w:rsid w:val="00B063A8"/>
    <w:rsid w:val="00B164CF"/>
    <w:rsid w:val="00B25500"/>
    <w:rsid w:val="00B34137"/>
    <w:rsid w:val="00B3451C"/>
    <w:rsid w:val="00B37806"/>
    <w:rsid w:val="00B40971"/>
    <w:rsid w:val="00B4157B"/>
    <w:rsid w:val="00B44AC6"/>
    <w:rsid w:val="00B46215"/>
    <w:rsid w:val="00B507E1"/>
    <w:rsid w:val="00B664B1"/>
    <w:rsid w:val="00B71EEA"/>
    <w:rsid w:val="00B8053F"/>
    <w:rsid w:val="00B83705"/>
    <w:rsid w:val="00B87CA1"/>
    <w:rsid w:val="00B90998"/>
    <w:rsid w:val="00B91DA9"/>
    <w:rsid w:val="00B94002"/>
    <w:rsid w:val="00BB06BB"/>
    <w:rsid w:val="00BB2045"/>
    <w:rsid w:val="00BB47AC"/>
    <w:rsid w:val="00BB4DC0"/>
    <w:rsid w:val="00BC25F0"/>
    <w:rsid w:val="00BC5F96"/>
    <w:rsid w:val="00BD1085"/>
    <w:rsid w:val="00BE5E6D"/>
    <w:rsid w:val="00BF297C"/>
    <w:rsid w:val="00C0285D"/>
    <w:rsid w:val="00C13985"/>
    <w:rsid w:val="00C14F44"/>
    <w:rsid w:val="00C450DC"/>
    <w:rsid w:val="00C53022"/>
    <w:rsid w:val="00C9219D"/>
    <w:rsid w:val="00CA2678"/>
    <w:rsid w:val="00CA51B0"/>
    <w:rsid w:val="00CC2DD2"/>
    <w:rsid w:val="00CC4928"/>
    <w:rsid w:val="00CC4CC3"/>
    <w:rsid w:val="00CD0DCD"/>
    <w:rsid w:val="00CE5C0C"/>
    <w:rsid w:val="00CF178D"/>
    <w:rsid w:val="00D034C0"/>
    <w:rsid w:val="00D16418"/>
    <w:rsid w:val="00D22879"/>
    <w:rsid w:val="00D429FE"/>
    <w:rsid w:val="00D43EC8"/>
    <w:rsid w:val="00D50BD2"/>
    <w:rsid w:val="00D52ACB"/>
    <w:rsid w:val="00D6020C"/>
    <w:rsid w:val="00D639D6"/>
    <w:rsid w:val="00D74A61"/>
    <w:rsid w:val="00D91BF6"/>
    <w:rsid w:val="00DB6221"/>
    <w:rsid w:val="00DD51A4"/>
    <w:rsid w:val="00DE5BE5"/>
    <w:rsid w:val="00E07EA9"/>
    <w:rsid w:val="00E10EDE"/>
    <w:rsid w:val="00E33B1D"/>
    <w:rsid w:val="00E365FC"/>
    <w:rsid w:val="00E42CAA"/>
    <w:rsid w:val="00E45824"/>
    <w:rsid w:val="00E57638"/>
    <w:rsid w:val="00E62B86"/>
    <w:rsid w:val="00E725B4"/>
    <w:rsid w:val="00E74A6C"/>
    <w:rsid w:val="00E81FCE"/>
    <w:rsid w:val="00E8690D"/>
    <w:rsid w:val="00EA51CC"/>
    <w:rsid w:val="00EA5740"/>
    <w:rsid w:val="00EB04E6"/>
    <w:rsid w:val="00EB0B6E"/>
    <w:rsid w:val="00EB64E3"/>
    <w:rsid w:val="00EB74EB"/>
    <w:rsid w:val="00EC32BA"/>
    <w:rsid w:val="00EE0647"/>
    <w:rsid w:val="00EE2664"/>
    <w:rsid w:val="00EE6967"/>
    <w:rsid w:val="00EF65E4"/>
    <w:rsid w:val="00F008EF"/>
    <w:rsid w:val="00F07B1C"/>
    <w:rsid w:val="00F12A31"/>
    <w:rsid w:val="00F257BD"/>
    <w:rsid w:val="00F2754F"/>
    <w:rsid w:val="00F363FC"/>
    <w:rsid w:val="00F41AA8"/>
    <w:rsid w:val="00F41F64"/>
    <w:rsid w:val="00F57645"/>
    <w:rsid w:val="00F7070D"/>
    <w:rsid w:val="00F91363"/>
    <w:rsid w:val="00F950B8"/>
    <w:rsid w:val="00FB4F01"/>
    <w:rsid w:val="00FC1009"/>
    <w:rsid w:val="00FC678F"/>
    <w:rsid w:val="00FE28A6"/>
    <w:rsid w:val="00FE4E68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719"/>
  </w:style>
  <w:style w:type="paragraph" w:styleId="Nadpis1">
    <w:name w:val="heading 1"/>
    <w:basedOn w:val="Normln"/>
    <w:next w:val="Normln"/>
    <w:qFormat/>
    <w:rsid w:val="0091471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14719"/>
    <w:pPr>
      <w:keepNext/>
      <w:jc w:val="both"/>
      <w:outlineLvl w:val="1"/>
    </w:pPr>
    <w:rPr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96D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4719"/>
    <w:rPr>
      <w:color w:val="0000FF"/>
      <w:u w:val="single"/>
    </w:rPr>
  </w:style>
  <w:style w:type="paragraph" w:styleId="Zhlav">
    <w:name w:val="header"/>
    <w:basedOn w:val="Normln"/>
    <w:rsid w:val="00914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471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94002"/>
  </w:style>
  <w:style w:type="paragraph" w:styleId="Zkladntext">
    <w:name w:val="Body Text"/>
    <w:basedOn w:val="Normln"/>
    <w:link w:val="ZkladntextChar"/>
    <w:rsid w:val="00E57638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5763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7667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6799"/>
  </w:style>
  <w:style w:type="character" w:customStyle="1" w:styleId="TextkomenteChar">
    <w:name w:val="Text komentáře Char"/>
    <w:basedOn w:val="Standardnpsmoodstavce"/>
    <w:link w:val="Textkomente"/>
    <w:rsid w:val="00766799"/>
  </w:style>
  <w:style w:type="paragraph" w:styleId="Pedmtkomente">
    <w:name w:val="annotation subject"/>
    <w:basedOn w:val="Textkomente"/>
    <w:next w:val="Textkomente"/>
    <w:link w:val="PedmtkomenteChar"/>
    <w:rsid w:val="00766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6799"/>
    <w:rPr>
      <w:b/>
      <w:bCs/>
    </w:rPr>
  </w:style>
  <w:style w:type="paragraph" w:styleId="Textbubliny">
    <w:name w:val="Balloon Text"/>
    <w:basedOn w:val="Normln"/>
    <w:link w:val="TextbublinyChar"/>
    <w:rsid w:val="0076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6799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815197"/>
    <w:rPr>
      <w:color w:val="000000"/>
    </w:rPr>
  </w:style>
  <w:style w:type="paragraph" w:styleId="Zkladntextodsazen2">
    <w:name w:val="Body Text Indent 2"/>
    <w:basedOn w:val="Normln"/>
    <w:link w:val="Zkladntextodsazen2Char"/>
    <w:rsid w:val="00496D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96D25"/>
  </w:style>
  <w:style w:type="character" w:customStyle="1" w:styleId="Nadpis5Char">
    <w:name w:val="Nadpis 5 Char"/>
    <w:basedOn w:val="Standardnpsmoodstavce"/>
    <w:link w:val="Nadpis5"/>
    <w:semiHidden/>
    <w:rsid w:val="00496D25"/>
    <w:rPr>
      <w:rFonts w:ascii="Calibri" w:hAnsi="Calibri"/>
      <w:b/>
      <w:bCs/>
      <w:i/>
      <w:iCs/>
      <w:sz w:val="26"/>
      <w:szCs w:val="26"/>
    </w:rPr>
  </w:style>
  <w:style w:type="paragraph" w:customStyle="1" w:styleId="CM1">
    <w:name w:val="CM1"/>
    <w:basedOn w:val="Normln"/>
    <w:next w:val="Normln"/>
    <w:rsid w:val="00496D25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96D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96D25"/>
    <w:rPr>
      <w:sz w:val="16"/>
      <w:szCs w:val="16"/>
    </w:rPr>
  </w:style>
  <w:style w:type="paragraph" w:styleId="Zkladntext2">
    <w:name w:val="Body Text 2"/>
    <w:basedOn w:val="Normln"/>
    <w:link w:val="Zkladntext2Char"/>
    <w:rsid w:val="00496D25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96D25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96D25"/>
    <w:pPr>
      <w:spacing w:after="240"/>
    </w:pPr>
    <w:rPr>
      <w:rFonts w:ascii="Verdana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96D25"/>
    <w:rPr>
      <w:rFonts w:ascii="Verdana" w:hAnsi="Verdana"/>
      <w:sz w:val="18"/>
      <w:szCs w:val="21"/>
      <w:lang w:eastAsia="en-US"/>
    </w:rPr>
  </w:style>
  <w:style w:type="paragraph" w:styleId="Normlnweb">
    <w:name w:val="Normal (Web)"/>
    <w:basedOn w:val="Normln"/>
    <w:rsid w:val="00496D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D4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mezer1">
    <w:name w:val="Bez mezer1"/>
    <w:uiPriority w:val="99"/>
    <w:qFormat/>
    <w:rsid w:val="007C72E9"/>
    <w:rPr>
      <w:rFonts w:ascii="Verdana" w:eastAsia="Verdana" w:hAnsi="Verdana" w:cs="Verdana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7C72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Znakapoznpodarou">
    <w:name w:val="footnote reference"/>
    <w:basedOn w:val="Standardnpsmoodstavce"/>
    <w:rsid w:val="00640E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jproksch</cp:lastModifiedBy>
  <cp:revision>2</cp:revision>
  <cp:lastPrinted>2012-09-20T13:19:00Z</cp:lastPrinted>
  <dcterms:created xsi:type="dcterms:W3CDTF">2015-04-02T15:15:00Z</dcterms:created>
  <dcterms:modified xsi:type="dcterms:W3CDTF">2015-04-02T15:15:00Z</dcterms:modified>
</cp:coreProperties>
</file>