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6E" w:rsidRDefault="0066576E" w:rsidP="00311E0E">
      <w:pPr>
        <w:pStyle w:val="Nadpis1"/>
        <w:numPr>
          <w:ilvl w:val="0"/>
          <w:numId w:val="0"/>
        </w:numPr>
        <w:ind w:left="432" w:hanging="432"/>
        <w:rPr>
          <w:rFonts w:eastAsia="Calibri"/>
        </w:rPr>
      </w:pPr>
    </w:p>
    <w:p w:rsidR="0066576E" w:rsidRPr="00BA445E" w:rsidRDefault="0066576E" w:rsidP="00F9611E">
      <w:pPr>
        <w:jc w:val="both"/>
        <w:rPr>
          <w:rFonts w:ascii="Calibri" w:eastAsia="Calibri" w:hAnsi="Calibri" w:cs="Calibri"/>
          <w:sz w:val="2"/>
          <w:szCs w:val="24"/>
        </w:rPr>
      </w:pPr>
    </w:p>
    <w:tbl>
      <w:tblPr>
        <w:tblStyle w:val="Mkatabulky"/>
        <w:tblW w:w="0" w:type="auto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4" w:space="0" w:color="0093D6"/>
          <w:insideV w:val="single" w:sz="4" w:space="0" w:color="0093D6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66576E" w:rsidRPr="000D5845" w:rsidTr="0066576E">
        <w:tc>
          <w:tcPr>
            <w:tcW w:w="2263" w:type="dxa"/>
            <w:vAlign w:val="center"/>
          </w:tcPr>
          <w:p w:rsidR="0066576E" w:rsidRPr="000D5845" w:rsidRDefault="0066576E" w:rsidP="0066576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D5845">
              <w:rPr>
                <w:rFonts w:ascii="Calibri" w:hAnsi="Calibri" w:cs="Calibri"/>
                <w:color w:val="0093D6"/>
              </w:rPr>
              <w:t>NÁZEV MATERIÁLU</w:t>
            </w:r>
          </w:p>
        </w:tc>
        <w:tc>
          <w:tcPr>
            <w:tcW w:w="7365" w:type="dxa"/>
            <w:vAlign w:val="center"/>
          </w:tcPr>
          <w:p w:rsidR="00D773A9" w:rsidRPr="000D5845" w:rsidRDefault="00D773A9" w:rsidP="00D773A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D5845">
              <w:rPr>
                <w:rFonts w:ascii="Calibri" w:eastAsia="Calibri" w:hAnsi="Calibri" w:cs="Calibri"/>
                <w:sz w:val="24"/>
                <w:szCs w:val="24"/>
              </w:rPr>
              <w:t>Návrh připomínek k projektu transformace Českomoravské záruční a rozvojové banky, a. s.,</w:t>
            </w:r>
            <w:r w:rsidR="004248D9" w:rsidRPr="000D5845">
              <w:rPr>
                <w:rFonts w:ascii="Calibri" w:eastAsia="Calibri" w:hAnsi="Calibri" w:cs="Calibri"/>
                <w:sz w:val="24"/>
                <w:szCs w:val="24"/>
              </w:rPr>
              <w:t xml:space="preserve"> (ČMZRB)</w:t>
            </w:r>
            <w:r w:rsidRPr="000D5845">
              <w:rPr>
                <w:rFonts w:ascii="Calibri" w:eastAsia="Calibri" w:hAnsi="Calibri" w:cs="Calibri"/>
                <w:sz w:val="24"/>
                <w:szCs w:val="24"/>
              </w:rPr>
              <w:t xml:space="preserve"> na národní rozvojovou banku České republiky</w:t>
            </w:r>
            <w:r w:rsidR="004248D9" w:rsidRPr="000D5845">
              <w:rPr>
                <w:rFonts w:ascii="Calibri" w:eastAsia="Calibri" w:hAnsi="Calibri" w:cs="Calibri"/>
                <w:sz w:val="24"/>
                <w:szCs w:val="24"/>
              </w:rPr>
              <w:t xml:space="preserve"> (NRB)</w:t>
            </w:r>
          </w:p>
        </w:tc>
      </w:tr>
      <w:tr w:rsidR="0066576E" w:rsidRPr="000D5845" w:rsidTr="0066576E">
        <w:tc>
          <w:tcPr>
            <w:tcW w:w="2263" w:type="dxa"/>
            <w:vAlign w:val="center"/>
          </w:tcPr>
          <w:p w:rsidR="0066576E" w:rsidRPr="000D5845" w:rsidRDefault="0066576E" w:rsidP="0066576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D5845">
              <w:rPr>
                <w:rFonts w:ascii="Calibri" w:hAnsi="Calibri" w:cs="Calibri"/>
                <w:color w:val="0093D6"/>
              </w:rPr>
              <w:t>Č. J.</w:t>
            </w:r>
          </w:p>
        </w:tc>
        <w:tc>
          <w:tcPr>
            <w:tcW w:w="7365" w:type="dxa"/>
            <w:vAlign w:val="center"/>
          </w:tcPr>
          <w:p w:rsidR="0066576E" w:rsidRPr="000D5845" w:rsidRDefault="00C64EBE" w:rsidP="006657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GŘ/41/SHP/2017</w:t>
            </w:r>
          </w:p>
        </w:tc>
      </w:tr>
      <w:tr w:rsidR="0066576E" w:rsidRPr="000D5845" w:rsidTr="0066576E">
        <w:tc>
          <w:tcPr>
            <w:tcW w:w="2263" w:type="dxa"/>
            <w:vAlign w:val="center"/>
          </w:tcPr>
          <w:p w:rsidR="0066576E" w:rsidRPr="000D5845" w:rsidRDefault="0066576E" w:rsidP="0066576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D5845">
              <w:rPr>
                <w:rFonts w:ascii="Calibri" w:hAnsi="Calibri" w:cs="Calibri"/>
                <w:color w:val="0093D6"/>
              </w:rPr>
              <w:t>DATUM ZPRACOVÁNÍ</w:t>
            </w:r>
          </w:p>
        </w:tc>
        <w:tc>
          <w:tcPr>
            <w:tcW w:w="7365" w:type="dxa"/>
            <w:vAlign w:val="center"/>
          </w:tcPr>
          <w:p w:rsidR="0066576E" w:rsidRPr="000D5845" w:rsidRDefault="00AD220F" w:rsidP="00C12E9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  <w:r w:rsidR="00D773A9" w:rsidRPr="000D5845">
              <w:rPr>
                <w:rFonts w:ascii="Calibri" w:eastAsia="Calibri" w:hAnsi="Calibri" w:cs="Calibri"/>
                <w:sz w:val="24"/>
                <w:szCs w:val="24"/>
              </w:rPr>
              <w:t>.6</w:t>
            </w:r>
            <w:r w:rsidR="008F099C" w:rsidRPr="000D5845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009E2DEF" w:rsidRPr="000D5845">
              <w:rPr>
                <w:rFonts w:ascii="Calibri" w:eastAsia="Calibri" w:hAnsi="Calibri" w:cs="Calibri"/>
                <w:sz w:val="24"/>
                <w:szCs w:val="24"/>
              </w:rPr>
              <w:t>2017</w:t>
            </w:r>
            <w:proofErr w:type="gramEnd"/>
          </w:p>
        </w:tc>
      </w:tr>
      <w:tr w:rsidR="0066576E" w:rsidRPr="000D5845" w:rsidTr="0066576E">
        <w:tc>
          <w:tcPr>
            <w:tcW w:w="2263" w:type="dxa"/>
            <w:vAlign w:val="center"/>
          </w:tcPr>
          <w:p w:rsidR="0066576E" w:rsidRPr="000D5845" w:rsidRDefault="0066576E" w:rsidP="0066576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D5845">
              <w:rPr>
                <w:rFonts w:ascii="Calibri" w:hAnsi="Calibri" w:cs="Calibri"/>
                <w:color w:val="0093D6"/>
              </w:rPr>
              <w:t>KONTAKTNÍ OSOBA</w:t>
            </w:r>
          </w:p>
        </w:tc>
        <w:tc>
          <w:tcPr>
            <w:tcW w:w="7365" w:type="dxa"/>
            <w:vAlign w:val="center"/>
          </w:tcPr>
          <w:p w:rsidR="0066576E" w:rsidRPr="000D5845" w:rsidRDefault="00C64EBE" w:rsidP="006657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Ing. Vladimír Štípek</w:t>
            </w:r>
          </w:p>
        </w:tc>
      </w:tr>
      <w:tr w:rsidR="0066576E" w:rsidRPr="000D5845" w:rsidTr="0066576E">
        <w:tc>
          <w:tcPr>
            <w:tcW w:w="2263" w:type="dxa"/>
            <w:vAlign w:val="center"/>
          </w:tcPr>
          <w:p w:rsidR="0066576E" w:rsidRPr="000D5845" w:rsidRDefault="0066576E" w:rsidP="0066576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D5845">
              <w:rPr>
                <w:rFonts w:ascii="Calibri" w:hAnsi="Calibri" w:cs="Calibri"/>
                <w:color w:val="0093D6"/>
              </w:rPr>
              <w:t>TELEFON</w:t>
            </w:r>
          </w:p>
        </w:tc>
        <w:tc>
          <w:tcPr>
            <w:tcW w:w="7365" w:type="dxa"/>
            <w:vAlign w:val="center"/>
          </w:tcPr>
          <w:p w:rsidR="0066576E" w:rsidRPr="000D5845" w:rsidRDefault="00C64EBE" w:rsidP="006657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734 645 249</w:t>
            </w:r>
          </w:p>
        </w:tc>
      </w:tr>
      <w:tr w:rsidR="0066576E" w:rsidRPr="000D5845" w:rsidTr="0066576E">
        <w:tc>
          <w:tcPr>
            <w:tcW w:w="2263" w:type="dxa"/>
            <w:vAlign w:val="center"/>
          </w:tcPr>
          <w:p w:rsidR="0066576E" w:rsidRPr="000D5845" w:rsidRDefault="0066576E" w:rsidP="0066576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D5845">
              <w:rPr>
                <w:rFonts w:ascii="Calibri" w:hAnsi="Calibri" w:cs="Calibri"/>
                <w:color w:val="0093D6"/>
              </w:rPr>
              <w:t>E-MAIL</w:t>
            </w:r>
          </w:p>
        </w:tc>
        <w:tc>
          <w:tcPr>
            <w:tcW w:w="7365" w:type="dxa"/>
            <w:vAlign w:val="center"/>
          </w:tcPr>
          <w:p w:rsidR="0066576E" w:rsidRPr="000D5845" w:rsidRDefault="00C64EBE" w:rsidP="00FC6A0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vstipek@spcr.cz</w:t>
            </w:r>
          </w:p>
        </w:tc>
      </w:tr>
    </w:tbl>
    <w:p w:rsidR="00CA344A" w:rsidRPr="000D5845" w:rsidRDefault="00CA344A" w:rsidP="00F9611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D03C9" w:rsidRPr="000D5845" w:rsidRDefault="00FC6A05" w:rsidP="00413842">
      <w:pPr>
        <w:spacing w:after="120" w:line="240" w:lineRule="auto"/>
        <w:rPr>
          <w:rFonts w:eastAsia="Times New Roman" w:cs="Arial"/>
          <w:b/>
          <w:color w:val="0093D6"/>
          <w:lang w:eastAsia="cs-CZ"/>
        </w:rPr>
      </w:pPr>
      <w:r w:rsidRPr="000D5845">
        <w:rPr>
          <w:rFonts w:eastAsia="Times New Roman" w:cs="Arial"/>
          <w:b/>
          <w:color w:val="0093D6"/>
          <w:lang w:eastAsia="cs-CZ"/>
        </w:rPr>
        <w:t xml:space="preserve">SHRNUTÍ - </w:t>
      </w:r>
      <w:r w:rsidR="00FD03C9" w:rsidRPr="000D5845">
        <w:rPr>
          <w:rFonts w:eastAsia="Times New Roman" w:cs="Arial"/>
          <w:b/>
          <w:color w:val="0093D6"/>
          <w:lang w:eastAsia="cs-CZ"/>
        </w:rPr>
        <w:t>OBECN</w:t>
      </w:r>
      <w:r w:rsidR="0071040A" w:rsidRPr="000D5845">
        <w:rPr>
          <w:rFonts w:eastAsia="Times New Roman" w:cs="Arial"/>
          <w:b/>
          <w:color w:val="0093D6"/>
          <w:lang w:eastAsia="cs-CZ"/>
        </w:rPr>
        <w:t>É</w:t>
      </w:r>
      <w:r w:rsidR="00FD03C9" w:rsidRPr="000D5845">
        <w:rPr>
          <w:rFonts w:eastAsia="Times New Roman" w:cs="Arial"/>
          <w:b/>
          <w:color w:val="0093D6"/>
          <w:lang w:eastAsia="cs-CZ"/>
        </w:rPr>
        <w:t xml:space="preserve"> PŘIPOMÍNK</w:t>
      </w:r>
      <w:r w:rsidR="0071040A" w:rsidRPr="000D5845">
        <w:rPr>
          <w:rFonts w:eastAsia="Times New Roman" w:cs="Arial"/>
          <w:b/>
          <w:color w:val="0093D6"/>
          <w:lang w:eastAsia="cs-CZ"/>
        </w:rPr>
        <w:t>Y</w:t>
      </w:r>
    </w:p>
    <w:p w:rsidR="0088040A" w:rsidRPr="000D5845" w:rsidRDefault="00A90FF6" w:rsidP="00413842">
      <w:pPr>
        <w:pStyle w:val="Zkladntext2"/>
        <w:spacing w:line="240" w:lineRule="auto"/>
        <w:jc w:val="both"/>
        <w:rPr>
          <w:rFonts w:cs="Arial"/>
        </w:rPr>
      </w:pPr>
      <w:r w:rsidRPr="000D5845">
        <w:rPr>
          <w:rFonts w:cs="Arial"/>
        </w:rPr>
        <w:t>Projekt transformace ČMZRB na NRB oceňujeme</w:t>
      </w:r>
      <w:r w:rsidR="00C06072" w:rsidRPr="000D5845">
        <w:rPr>
          <w:rFonts w:cs="Arial"/>
        </w:rPr>
        <w:t xml:space="preserve"> z pohledu cíle systematické konsolidace vybraných aktivit při využívání </w:t>
      </w:r>
      <w:r w:rsidR="00C06072" w:rsidRPr="000D5845">
        <w:t>finančních nástrojů k rozvoji národní ekonomiky</w:t>
      </w:r>
      <w:r w:rsidR="00D05143">
        <w:t>.</w:t>
      </w:r>
      <w:r w:rsidR="00C06072" w:rsidRPr="000D5845">
        <w:t xml:space="preserve"> </w:t>
      </w:r>
      <w:r w:rsidR="004248D9" w:rsidRPr="000D5845">
        <w:rPr>
          <w:rFonts w:cs="Arial"/>
        </w:rPr>
        <w:t>Z</w:t>
      </w:r>
      <w:r w:rsidRPr="000D5845">
        <w:rPr>
          <w:rFonts w:cs="Arial"/>
        </w:rPr>
        <w:t>ároveň mohou projekty realizované díky podpo</w:t>
      </w:r>
      <w:r w:rsidR="004248D9" w:rsidRPr="000D5845">
        <w:rPr>
          <w:rFonts w:cs="Arial"/>
        </w:rPr>
        <w:t>ře</w:t>
      </w:r>
      <w:r w:rsidRPr="000D5845">
        <w:rPr>
          <w:rFonts w:cs="Arial"/>
        </w:rPr>
        <w:t xml:space="preserve"> této banky (např. v dopravní, vodohospodářské a odpadové infrastruktuře) </w:t>
      </w:r>
      <w:r w:rsidRPr="000D5845">
        <w:rPr>
          <w:rFonts w:cs="Arial"/>
          <w:b/>
        </w:rPr>
        <w:t xml:space="preserve">zvýšit </w:t>
      </w:r>
      <w:r w:rsidR="00C06072" w:rsidRPr="000D5845">
        <w:rPr>
          <w:rFonts w:cs="Arial"/>
          <w:b/>
        </w:rPr>
        <w:t>„</w:t>
      </w:r>
      <w:r w:rsidRPr="000D5845">
        <w:rPr>
          <w:rFonts w:cs="Arial"/>
          <w:b/>
        </w:rPr>
        <w:t>konkurenceschopnost</w:t>
      </w:r>
      <w:r w:rsidR="00C06072" w:rsidRPr="000D5845">
        <w:rPr>
          <w:rFonts w:cs="Arial"/>
          <w:b/>
        </w:rPr>
        <w:t>“</w:t>
      </w:r>
      <w:r w:rsidRPr="000D5845">
        <w:rPr>
          <w:rFonts w:cs="Arial"/>
          <w:b/>
        </w:rPr>
        <w:t xml:space="preserve"> a atraktivnost méně zalidněných lokalit</w:t>
      </w:r>
      <w:r w:rsidR="00C06072" w:rsidRPr="000D5845">
        <w:rPr>
          <w:rFonts w:cs="Arial"/>
          <w:b/>
        </w:rPr>
        <w:t xml:space="preserve"> ČR</w:t>
      </w:r>
      <w:r w:rsidRPr="000D5845">
        <w:rPr>
          <w:rFonts w:cs="Arial"/>
        </w:rPr>
        <w:t>. Jde o vhodnou aktivitu, kterou lze aktivněji využít dostupné zdroje pro investice v ČR (</w:t>
      </w:r>
      <w:r w:rsidR="004248D9" w:rsidRPr="000D5845">
        <w:rPr>
          <w:rFonts w:cs="Arial"/>
        </w:rPr>
        <w:t xml:space="preserve">např. </w:t>
      </w:r>
      <w:r w:rsidRPr="000D5845">
        <w:rPr>
          <w:rFonts w:cs="Arial"/>
        </w:rPr>
        <w:t>zdroje z EFSI).</w:t>
      </w:r>
      <w:r w:rsidR="00006642" w:rsidRPr="000D5845">
        <w:rPr>
          <w:rFonts w:cs="Arial"/>
          <w:b/>
        </w:rPr>
        <w:t xml:space="preserve"> Svaz projekt transformace podporuje.</w:t>
      </w:r>
    </w:p>
    <w:p w:rsidR="00A90FF6" w:rsidRPr="000D5845" w:rsidRDefault="00A90FF6" w:rsidP="00413842">
      <w:pPr>
        <w:pStyle w:val="Zkladntext2"/>
        <w:spacing w:line="240" w:lineRule="auto"/>
        <w:jc w:val="both"/>
        <w:rPr>
          <w:rFonts w:cs="Arial"/>
          <w:i/>
          <w:u w:val="single"/>
        </w:rPr>
      </w:pPr>
    </w:p>
    <w:p w:rsidR="009B00D2" w:rsidRPr="000D5845" w:rsidRDefault="009B00D2" w:rsidP="00413842">
      <w:pPr>
        <w:spacing w:after="120" w:line="240" w:lineRule="auto"/>
        <w:rPr>
          <w:rFonts w:eastAsia="Times New Roman" w:cs="Arial"/>
          <w:b/>
          <w:caps/>
          <w:color w:val="0093D6"/>
          <w:lang w:eastAsia="cs-CZ"/>
        </w:rPr>
      </w:pPr>
      <w:r w:rsidRPr="000D5845">
        <w:rPr>
          <w:rFonts w:eastAsia="Times New Roman" w:cs="Arial"/>
          <w:b/>
          <w:caps/>
          <w:color w:val="0093D6"/>
          <w:lang w:eastAsia="cs-CZ"/>
        </w:rPr>
        <w:t xml:space="preserve">konkrétní </w:t>
      </w:r>
      <w:r w:rsidR="00006642" w:rsidRPr="000D5845">
        <w:rPr>
          <w:rFonts w:eastAsia="Times New Roman" w:cs="Arial"/>
          <w:b/>
          <w:caps/>
          <w:color w:val="0093D6"/>
          <w:lang w:eastAsia="cs-CZ"/>
        </w:rPr>
        <w:t xml:space="preserve">doporučující </w:t>
      </w:r>
      <w:r w:rsidRPr="000D5845">
        <w:rPr>
          <w:rFonts w:eastAsia="Times New Roman" w:cs="Arial"/>
          <w:b/>
          <w:caps/>
          <w:color w:val="0093D6"/>
          <w:lang w:eastAsia="cs-CZ"/>
        </w:rPr>
        <w:t>Připomínky</w:t>
      </w:r>
    </w:p>
    <w:p w:rsidR="00982B1C" w:rsidRPr="000D5845" w:rsidRDefault="00006642" w:rsidP="00C64EBE">
      <w:pPr>
        <w:pStyle w:val="Odstavecseseznamem"/>
        <w:numPr>
          <w:ilvl w:val="0"/>
          <w:numId w:val="18"/>
        </w:numPr>
        <w:spacing w:line="240" w:lineRule="auto"/>
        <w:contextualSpacing w:val="0"/>
        <w:rPr>
          <w:rFonts w:eastAsia="Times New Roman"/>
        </w:rPr>
      </w:pPr>
      <w:r w:rsidRPr="000D5845">
        <w:rPr>
          <w:rFonts w:eastAsia="Times New Roman" w:cs="Arial"/>
          <w:b/>
          <w:lang w:eastAsia="cs-CZ"/>
        </w:rPr>
        <w:t>Uvítali bychom v úvodu jednoduchý přehled</w:t>
      </w:r>
      <w:r w:rsidR="000D5845" w:rsidRPr="000D5845">
        <w:rPr>
          <w:rFonts w:eastAsia="Times New Roman" w:cs="Arial"/>
          <w:b/>
          <w:lang w:eastAsia="cs-CZ"/>
        </w:rPr>
        <w:t xml:space="preserve"> / stručnou tabulku</w:t>
      </w:r>
      <w:r w:rsidR="00A90FF6" w:rsidRPr="000D5845">
        <w:rPr>
          <w:rFonts w:eastAsia="Times New Roman"/>
        </w:rPr>
        <w:t xml:space="preserve">, k jakým konkrétním změnám dojde oproti stávajícímu </w:t>
      </w:r>
      <w:r w:rsidRPr="000D5845">
        <w:rPr>
          <w:rFonts w:eastAsia="Times New Roman"/>
        </w:rPr>
        <w:t>stavu.</w:t>
      </w:r>
    </w:p>
    <w:p w:rsidR="004F1758" w:rsidRPr="000D5845" w:rsidRDefault="004F1758" w:rsidP="00C64EBE">
      <w:pPr>
        <w:spacing w:after="120" w:line="240" w:lineRule="auto"/>
        <w:jc w:val="both"/>
        <w:rPr>
          <w:rFonts w:eastAsia="Times New Roman" w:cs="Arial"/>
          <w:b/>
          <w:color w:val="00B0F0"/>
          <w:lang w:eastAsia="cs-CZ"/>
        </w:rPr>
      </w:pPr>
    </w:p>
    <w:p w:rsidR="00A90FF6" w:rsidRPr="000D5845" w:rsidRDefault="004F1758" w:rsidP="00C64EBE">
      <w:pPr>
        <w:pStyle w:val="Odstavecseseznamem"/>
        <w:numPr>
          <w:ilvl w:val="0"/>
          <w:numId w:val="18"/>
        </w:numPr>
        <w:spacing w:line="240" w:lineRule="auto"/>
        <w:contextualSpacing w:val="0"/>
        <w:rPr>
          <w:rFonts w:eastAsia="Times New Roman"/>
          <w:lang w:eastAsia="cs-CZ"/>
        </w:rPr>
      </w:pPr>
      <w:r w:rsidRPr="000D5845">
        <w:rPr>
          <w:rFonts w:eastAsia="Times New Roman"/>
          <w:b/>
          <w:lang w:eastAsia="cs-CZ"/>
        </w:rPr>
        <w:t>Citace ze s</w:t>
      </w:r>
      <w:r w:rsidR="00A90FF6" w:rsidRPr="000D5845">
        <w:rPr>
          <w:rFonts w:eastAsia="Times New Roman"/>
          <w:b/>
          <w:lang w:eastAsia="cs-CZ"/>
        </w:rPr>
        <w:t>tr. 5</w:t>
      </w:r>
      <w:r w:rsidRPr="000D5845">
        <w:rPr>
          <w:rFonts w:eastAsia="Times New Roman"/>
          <w:b/>
          <w:lang w:eastAsia="cs-CZ"/>
        </w:rPr>
        <w:t xml:space="preserve">: </w:t>
      </w:r>
      <w:r w:rsidR="0025280A" w:rsidRPr="000D5845">
        <w:rPr>
          <w:rFonts w:eastAsia="Times New Roman"/>
          <w:lang w:eastAsia="cs-CZ"/>
        </w:rPr>
        <w:t>Kapitola: „</w:t>
      </w:r>
      <w:r w:rsidR="00A90FF6" w:rsidRPr="000D5845">
        <w:rPr>
          <w:rFonts w:eastAsia="Times New Roman"/>
          <w:lang w:eastAsia="cs-CZ"/>
        </w:rPr>
        <w:t>I. Zaměření činnosti - okruhy podporovaných projektů</w:t>
      </w:r>
      <w:r w:rsidR="0025280A" w:rsidRPr="000D5845">
        <w:rPr>
          <w:rFonts w:eastAsia="Times New Roman"/>
          <w:lang w:eastAsia="cs-CZ"/>
        </w:rPr>
        <w:t>“</w:t>
      </w:r>
    </w:p>
    <w:p w:rsidR="00A90FF6" w:rsidRPr="000D5845" w:rsidRDefault="00A90FF6" w:rsidP="00C64EBE">
      <w:pPr>
        <w:spacing w:after="120" w:line="240" w:lineRule="auto"/>
        <w:jc w:val="both"/>
        <w:rPr>
          <w:rFonts w:eastAsia="Times New Roman" w:cs="Arial"/>
          <w:i/>
          <w:lang w:eastAsia="cs-CZ"/>
        </w:rPr>
      </w:pPr>
      <w:r w:rsidRPr="000D5845">
        <w:rPr>
          <w:rFonts w:eastAsia="Times New Roman" w:cs="Arial"/>
          <w:i/>
          <w:lang w:eastAsia="cs-CZ"/>
        </w:rPr>
        <w:t xml:space="preserve">V případě fyzických osob může jít např. o projekty v sociální oblasti – podpora </w:t>
      </w:r>
      <w:proofErr w:type="spellStart"/>
      <w:r w:rsidRPr="000D5845">
        <w:rPr>
          <w:rFonts w:eastAsia="Times New Roman" w:cs="Arial"/>
          <w:i/>
          <w:lang w:eastAsia="cs-CZ"/>
        </w:rPr>
        <w:t>sebezaměstnávání</w:t>
      </w:r>
      <w:proofErr w:type="spellEnd"/>
      <w:r w:rsidRPr="000D5845">
        <w:rPr>
          <w:rFonts w:eastAsia="Times New Roman" w:cs="Arial"/>
          <w:i/>
          <w:lang w:eastAsia="cs-CZ"/>
        </w:rPr>
        <w:t xml:space="preserve"> nebo podporu bydlení. Z hlediska typů produktů může jít např. o </w:t>
      </w:r>
      <w:proofErr w:type="spellStart"/>
      <w:r w:rsidRPr="000D5845">
        <w:rPr>
          <w:rFonts w:eastAsia="Times New Roman" w:cs="Arial"/>
          <w:i/>
          <w:lang w:eastAsia="cs-CZ"/>
        </w:rPr>
        <w:t>mikropůjčky</w:t>
      </w:r>
      <w:proofErr w:type="spellEnd"/>
      <w:r w:rsidRPr="000D5845">
        <w:rPr>
          <w:rFonts w:eastAsia="Times New Roman" w:cs="Arial"/>
          <w:i/>
          <w:lang w:eastAsia="cs-CZ"/>
        </w:rPr>
        <w:t xml:space="preserve"> nebo schémata záruk za</w:t>
      </w:r>
      <w:r w:rsidR="00C64EBE">
        <w:rPr>
          <w:rFonts w:eastAsia="Times New Roman" w:cs="Arial"/>
          <w:i/>
          <w:lang w:eastAsia="cs-CZ"/>
        </w:rPr>
        <w:t> </w:t>
      </w:r>
      <w:proofErr w:type="spellStart"/>
      <w:r w:rsidRPr="000D5845">
        <w:rPr>
          <w:rFonts w:eastAsia="Times New Roman" w:cs="Arial"/>
          <w:i/>
          <w:lang w:eastAsia="cs-CZ"/>
        </w:rPr>
        <w:t>mikropůjčky</w:t>
      </w:r>
      <w:proofErr w:type="spellEnd"/>
      <w:r w:rsidRPr="000D5845">
        <w:rPr>
          <w:rFonts w:eastAsia="Times New Roman" w:cs="Arial"/>
          <w:i/>
          <w:lang w:eastAsia="cs-CZ"/>
        </w:rPr>
        <w:t xml:space="preserve"> a úvěry.</w:t>
      </w:r>
    </w:p>
    <w:p w:rsidR="00A90FF6" w:rsidRDefault="00A90FF6" w:rsidP="00C64EBE">
      <w:pPr>
        <w:spacing w:after="120" w:line="240" w:lineRule="auto"/>
        <w:jc w:val="both"/>
        <w:rPr>
          <w:rFonts w:eastAsia="Times New Roman" w:cs="Arial"/>
          <w:lang w:eastAsia="cs-CZ"/>
        </w:rPr>
      </w:pPr>
      <w:r w:rsidRPr="000D5845">
        <w:rPr>
          <w:rFonts w:eastAsia="Times New Roman" w:cs="Arial"/>
          <w:b/>
          <w:lang w:eastAsia="cs-CZ"/>
        </w:rPr>
        <w:t xml:space="preserve">Připomínka: </w:t>
      </w:r>
      <w:r w:rsidRPr="000D5845">
        <w:rPr>
          <w:rFonts w:eastAsia="Times New Roman" w:cs="Arial"/>
          <w:lang w:eastAsia="cs-CZ"/>
        </w:rPr>
        <w:t>Je vhodné taková opatření, která mohou vést k zadlužení, koordinovat s vládní iniciativou (z</w:t>
      </w:r>
      <w:r w:rsidR="003F1482" w:rsidRPr="000D5845">
        <w:rPr>
          <w:rFonts w:eastAsia="Times New Roman" w:cs="Arial"/>
          <w:lang w:eastAsia="cs-CZ"/>
        </w:rPr>
        <w:t> </w:t>
      </w:r>
      <w:r w:rsidRPr="000D5845">
        <w:rPr>
          <w:rFonts w:eastAsia="Times New Roman" w:cs="Arial"/>
          <w:lang w:eastAsia="cs-CZ"/>
        </w:rPr>
        <w:t xml:space="preserve">programového prohlášení) týkající se zvyšování </w:t>
      </w:r>
      <w:r w:rsidRPr="000D5845">
        <w:rPr>
          <w:rFonts w:eastAsia="Times New Roman" w:cs="Arial"/>
          <w:b/>
          <w:lang w:eastAsia="cs-CZ"/>
        </w:rPr>
        <w:t>finanční gramotnosti</w:t>
      </w:r>
      <w:r w:rsidRPr="000D5845">
        <w:rPr>
          <w:rFonts w:eastAsia="Times New Roman" w:cs="Arial"/>
          <w:lang w:eastAsia="cs-CZ"/>
        </w:rPr>
        <w:t xml:space="preserve"> (existuje specializovaný portál MF ČR </w:t>
      </w:r>
      <w:hyperlink r:id="rId8" w:history="1">
        <w:r w:rsidRPr="000D5845">
          <w:rPr>
            <w:rStyle w:val="Hypertextovodkaz"/>
            <w:rFonts w:eastAsia="Times New Roman" w:cs="Arial"/>
            <w:color w:val="auto"/>
            <w:lang w:eastAsia="cs-CZ"/>
          </w:rPr>
          <w:t>http://www.psfv.cz/</w:t>
        </w:r>
      </w:hyperlink>
      <w:r w:rsidRPr="000D5845">
        <w:rPr>
          <w:rFonts w:eastAsia="Times New Roman" w:cs="Arial"/>
          <w:lang w:eastAsia="cs-CZ"/>
        </w:rPr>
        <w:t>). Národní rozvojová banka bude patrně důkladně posuzovat situaci žadatelů, ale není zřejmé, zda bude zájmem NRB skutečně být velmi striktní (logickým zájmem NRB by bylo své nástroje využívat v maximální možné míře, což by ale mohlo vést ke zhoršení dluhové situace potenciálních žadatelů).</w:t>
      </w:r>
    </w:p>
    <w:p w:rsidR="000D5845" w:rsidRPr="000D5845" w:rsidRDefault="000D5845" w:rsidP="00C64EBE">
      <w:pPr>
        <w:spacing w:after="120" w:line="240" w:lineRule="auto"/>
        <w:jc w:val="both"/>
        <w:rPr>
          <w:rFonts w:eastAsia="Times New Roman" w:cs="Arial"/>
          <w:lang w:eastAsia="cs-CZ"/>
        </w:rPr>
      </w:pPr>
    </w:p>
    <w:p w:rsidR="00006642" w:rsidRPr="000D5845" w:rsidRDefault="00006642" w:rsidP="00C64EBE">
      <w:pPr>
        <w:pStyle w:val="Odstavecseseznamem"/>
        <w:numPr>
          <w:ilvl w:val="0"/>
          <w:numId w:val="18"/>
        </w:numPr>
        <w:spacing w:line="240" w:lineRule="auto"/>
        <w:contextualSpacing w:val="0"/>
        <w:rPr>
          <w:rFonts w:eastAsia="Times New Roman" w:cs="Arial"/>
          <w:i/>
          <w:lang w:eastAsia="cs-CZ"/>
        </w:rPr>
      </w:pPr>
      <w:r w:rsidRPr="000D5845">
        <w:rPr>
          <w:rFonts w:eastAsia="Times New Roman" w:cs="Arial"/>
          <w:b/>
          <w:lang w:eastAsia="cs-CZ"/>
        </w:rPr>
        <w:t>Citace ze str. 4:</w:t>
      </w:r>
      <w:r w:rsidRPr="000D5845">
        <w:rPr>
          <w:rFonts w:eastAsia="Times New Roman" w:cs="Arial"/>
          <w:i/>
          <w:lang w:eastAsia="cs-CZ"/>
        </w:rPr>
        <w:t xml:space="preserve"> „Okruhy podporovaných projektů lze rozdělit např. podle cílových skupin. Z hlediska typu příjemců podpory (cílových skupin) se NRB bude zaměřovat zejména na:</w:t>
      </w:r>
    </w:p>
    <w:p w:rsidR="00006642" w:rsidRPr="000D5845" w:rsidRDefault="00006642" w:rsidP="00C64EBE">
      <w:pPr>
        <w:pStyle w:val="Odstavecseseznamem"/>
        <w:numPr>
          <w:ilvl w:val="0"/>
          <w:numId w:val="14"/>
        </w:numPr>
        <w:spacing w:line="240" w:lineRule="auto"/>
        <w:ind w:left="714" w:hanging="357"/>
        <w:contextualSpacing w:val="0"/>
        <w:rPr>
          <w:rFonts w:eastAsia="Times New Roman" w:cs="Arial"/>
          <w:i/>
          <w:lang w:eastAsia="cs-CZ"/>
        </w:rPr>
      </w:pPr>
      <w:r w:rsidRPr="000D5845">
        <w:rPr>
          <w:rFonts w:eastAsia="Times New Roman" w:cs="Arial"/>
          <w:i/>
          <w:lang w:eastAsia="cs-CZ"/>
        </w:rPr>
        <w:t>projekty malých a středních podniků a podniků se střední kapitalizací,</w:t>
      </w:r>
    </w:p>
    <w:p w:rsidR="00006642" w:rsidRPr="000D5845" w:rsidRDefault="00006642" w:rsidP="00C64EBE">
      <w:pPr>
        <w:pStyle w:val="Odstavecseseznamem"/>
        <w:numPr>
          <w:ilvl w:val="0"/>
          <w:numId w:val="14"/>
        </w:numPr>
        <w:spacing w:line="240" w:lineRule="auto"/>
        <w:ind w:left="714" w:hanging="357"/>
        <w:contextualSpacing w:val="0"/>
        <w:rPr>
          <w:rFonts w:eastAsia="Times New Roman" w:cs="Arial"/>
          <w:i/>
          <w:lang w:eastAsia="cs-CZ"/>
        </w:rPr>
      </w:pPr>
      <w:r w:rsidRPr="000D5845">
        <w:rPr>
          <w:rFonts w:eastAsia="Times New Roman" w:cs="Arial"/>
          <w:i/>
          <w:lang w:eastAsia="cs-CZ"/>
        </w:rPr>
        <w:t>projekty regionální a místní samosprávy,</w:t>
      </w:r>
    </w:p>
    <w:p w:rsidR="00006642" w:rsidRPr="000D5845" w:rsidRDefault="00006642" w:rsidP="00C64EBE">
      <w:pPr>
        <w:pStyle w:val="Odstavecseseznamem"/>
        <w:numPr>
          <w:ilvl w:val="0"/>
          <w:numId w:val="14"/>
        </w:numPr>
        <w:spacing w:line="240" w:lineRule="auto"/>
        <w:ind w:left="714" w:hanging="357"/>
        <w:contextualSpacing w:val="0"/>
        <w:rPr>
          <w:rFonts w:eastAsia="Times New Roman" w:cs="Arial"/>
          <w:i/>
          <w:lang w:eastAsia="cs-CZ"/>
        </w:rPr>
      </w:pPr>
      <w:r w:rsidRPr="000D5845">
        <w:rPr>
          <w:rFonts w:eastAsia="Times New Roman" w:cs="Arial"/>
          <w:i/>
          <w:lang w:eastAsia="cs-CZ"/>
        </w:rPr>
        <w:lastRenderedPageBreak/>
        <w:t>projekty ústředních orgánů státní správy,</w:t>
      </w:r>
    </w:p>
    <w:p w:rsidR="00006642" w:rsidRPr="000D5845" w:rsidRDefault="00006642" w:rsidP="00C64EBE">
      <w:pPr>
        <w:pStyle w:val="Odstavecseseznamem"/>
        <w:numPr>
          <w:ilvl w:val="0"/>
          <w:numId w:val="14"/>
        </w:numPr>
        <w:spacing w:line="240" w:lineRule="auto"/>
        <w:ind w:left="714" w:hanging="357"/>
        <w:contextualSpacing w:val="0"/>
        <w:rPr>
          <w:rFonts w:eastAsia="Times New Roman" w:cs="Arial"/>
          <w:i/>
          <w:lang w:eastAsia="cs-CZ"/>
        </w:rPr>
      </w:pPr>
      <w:r w:rsidRPr="000D5845">
        <w:rPr>
          <w:rFonts w:eastAsia="Times New Roman" w:cs="Arial"/>
          <w:i/>
          <w:lang w:eastAsia="cs-CZ"/>
        </w:rPr>
        <w:t>projekty státních podniků,</w:t>
      </w:r>
    </w:p>
    <w:p w:rsidR="00006642" w:rsidRPr="000D5845" w:rsidRDefault="00006642" w:rsidP="00C64EBE">
      <w:pPr>
        <w:pStyle w:val="Odstavecseseznamem"/>
        <w:numPr>
          <w:ilvl w:val="0"/>
          <w:numId w:val="14"/>
        </w:numPr>
        <w:spacing w:line="240" w:lineRule="auto"/>
        <w:ind w:left="714" w:hanging="357"/>
        <w:contextualSpacing w:val="0"/>
        <w:rPr>
          <w:rFonts w:eastAsia="Times New Roman" w:cs="Arial"/>
          <w:i/>
          <w:lang w:eastAsia="cs-CZ"/>
        </w:rPr>
      </w:pPr>
      <w:r w:rsidRPr="000D5845">
        <w:rPr>
          <w:rFonts w:eastAsia="Times New Roman" w:cs="Arial"/>
          <w:i/>
          <w:lang w:eastAsia="cs-CZ"/>
        </w:rPr>
        <w:t>projekty jednotlivců – fyzických osob.“</w:t>
      </w:r>
    </w:p>
    <w:p w:rsidR="00006642" w:rsidRPr="000D5845" w:rsidRDefault="00006642" w:rsidP="00C64EBE">
      <w:pPr>
        <w:pStyle w:val="Textkomente"/>
        <w:spacing w:after="120"/>
        <w:jc w:val="both"/>
        <w:rPr>
          <w:rFonts w:eastAsia="Times New Roman" w:cs="Arial"/>
          <w:b/>
          <w:sz w:val="22"/>
          <w:szCs w:val="22"/>
        </w:rPr>
      </w:pPr>
      <w:r w:rsidRPr="000D5845">
        <w:rPr>
          <w:rFonts w:eastAsia="Times New Roman" w:cs="Arial"/>
          <w:b/>
          <w:sz w:val="22"/>
          <w:szCs w:val="22"/>
        </w:rPr>
        <w:t>Připomínka:</w:t>
      </w:r>
      <w:r w:rsidRPr="000D5845">
        <w:rPr>
          <w:rFonts w:eastAsia="Times New Roman" w:cs="Arial"/>
          <w:sz w:val="22"/>
          <w:szCs w:val="22"/>
        </w:rPr>
        <w:t xml:space="preserve"> Přestože je název banky Národní rozvojová banka ČR, není z názvu zřejmé a výše uvedené citace, pro koho konkrétně její nástroje </w:t>
      </w:r>
      <w:r w:rsidRPr="000D5845">
        <w:rPr>
          <w:rFonts w:eastAsia="Times New Roman" w:cs="Arial"/>
          <w:b/>
          <w:sz w:val="22"/>
          <w:szCs w:val="22"/>
        </w:rPr>
        <w:t>nebudou určeny</w:t>
      </w:r>
      <w:r w:rsidRPr="000D5845">
        <w:rPr>
          <w:rFonts w:eastAsia="Times New Roman" w:cs="Arial"/>
          <w:sz w:val="22"/>
          <w:szCs w:val="22"/>
        </w:rPr>
        <w:t xml:space="preserve">. </w:t>
      </w:r>
      <w:r w:rsidR="000D5845" w:rsidRPr="000D5845">
        <w:rPr>
          <w:rFonts w:eastAsia="Times New Roman" w:cs="Arial"/>
          <w:b/>
          <w:sz w:val="22"/>
          <w:szCs w:val="22"/>
        </w:rPr>
        <w:t>Konkrétně,</w:t>
      </w:r>
      <w:r w:rsidRPr="000D5845">
        <w:rPr>
          <w:rFonts w:eastAsia="Times New Roman" w:cs="Arial"/>
          <w:b/>
          <w:sz w:val="22"/>
          <w:szCs w:val="22"/>
        </w:rPr>
        <w:t xml:space="preserve"> velké státní podniky</w:t>
      </w:r>
      <w:r w:rsidRPr="000D5845">
        <w:rPr>
          <w:rFonts w:eastAsia="Times New Roman" w:cs="Arial"/>
          <w:sz w:val="22"/>
          <w:szCs w:val="22"/>
        </w:rPr>
        <w:t xml:space="preserve"> se na NRB dle předloženého materiálu obrátit mohou, ale mohou o obdobnou pomoc žádat i </w:t>
      </w:r>
      <w:r w:rsidRPr="000D5845">
        <w:rPr>
          <w:rFonts w:eastAsia="Times New Roman" w:cs="Arial"/>
          <w:b/>
          <w:sz w:val="22"/>
          <w:szCs w:val="22"/>
        </w:rPr>
        <w:t>velké soukromé podniky</w:t>
      </w:r>
      <w:r w:rsidRPr="000D5845">
        <w:rPr>
          <w:rFonts w:eastAsia="Times New Roman" w:cs="Arial"/>
          <w:sz w:val="22"/>
          <w:szCs w:val="22"/>
        </w:rPr>
        <w:t xml:space="preserve">? </w:t>
      </w:r>
      <w:r w:rsidRPr="000D5845">
        <w:rPr>
          <w:rFonts w:eastAsia="Times New Roman" w:cs="Arial"/>
          <w:b/>
          <w:sz w:val="22"/>
          <w:szCs w:val="22"/>
        </w:rPr>
        <w:t>Navrhujeme následující úpravu:</w:t>
      </w:r>
    </w:p>
    <w:p w:rsidR="00006642" w:rsidRPr="000D5845" w:rsidRDefault="00006642" w:rsidP="00C64EBE">
      <w:pPr>
        <w:pStyle w:val="Odstavecseseznamem"/>
        <w:numPr>
          <w:ilvl w:val="0"/>
          <w:numId w:val="14"/>
        </w:numPr>
        <w:spacing w:line="240" w:lineRule="auto"/>
        <w:ind w:left="714" w:hanging="357"/>
        <w:contextualSpacing w:val="0"/>
        <w:rPr>
          <w:rFonts w:eastAsia="Times New Roman" w:cs="Arial"/>
          <w:i/>
          <w:lang w:eastAsia="cs-CZ"/>
        </w:rPr>
      </w:pPr>
      <w:r w:rsidRPr="000D5845">
        <w:rPr>
          <w:rFonts w:eastAsia="Times New Roman" w:cs="Arial"/>
          <w:b/>
        </w:rPr>
        <w:t>„</w:t>
      </w:r>
      <w:r w:rsidRPr="000D5845">
        <w:rPr>
          <w:rFonts w:eastAsia="Times New Roman" w:cs="Arial"/>
          <w:i/>
          <w:lang w:eastAsia="cs-CZ"/>
        </w:rPr>
        <w:t>projekty malých a středních podniků a podniků se střední kapitalizací, v odůvodněnýc</w:t>
      </w:r>
      <w:r w:rsidR="00C64EBE">
        <w:rPr>
          <w:rFonts w:eastAsia="Times New Roman" w:cs="Arial"/>
          <w:i/>
          <w:lang w:eastAsia="cs-CZ"/>
        </w:rPr>
        <w:t>h případech též velkých podniků.“</w:t>
      </w:r>
    </w:p>
    <w:p w:rsidR="00006642" w:rsidRPr="000D5845" w:rsidRDefault="00006642" w:rsidP="00C64EBE">
      <w:pPr>
        <w:spacing w:after="120" w:line="240" w:lineRule="auto"/>
        <w:rPr>
          <w:rFonts w:eastAsia="Times New Roman" w:cs="Arial"/>
          <w:b/>
          <w:caps/>
          <w:color w:val="0093D6"/>
          <w:lang w:eastAsia="cs-CZ"/>
        </w:rPr>
      </w:pPr>
    </w:p>
    <w:p w:rsidR="009B00D2" w:rsidRPr="000D5845" w:rsidRDefault="004F1758" w:rsidP="00C64EBE">
      <w:pPr>
        <w:spacing w:after="120" w:line="240" w:lineRule="auto"/>
        <w:rPr>
          <w:rFonts w:eastAsia="Times New Roman" w:cs="Arial"/>
          <w:b/>
          <w:caps/>
          <w:color w:val="0093D6"/>
          <w:lang w:eastAsia="cs-CZ"/>
        </w:rPr>
      </w:pPr>
      <w:r w:rsidRPr="000D5845">
        <w:rPr>
          <w:rFonts w:eastAsia="Times New Roman" w:cs="Arial"/>
          <w:b/>
          <w:caps/>
          <w:color w:val="0093D6"/>
          <w:lang w:eastAsia="cs-CZ"/>
        </w:rPr>
        <w:t>Podněty k</w:t>
      </w:r>
      <w:r w:rsidR="00D05143">
        <w:rPr>
          <w:rFonts w:eastAsia="Times New Roman" w:cs="Arial"/>
          <w:b/>
          <w:caps/>
          <w:color w:val="0093D6"/>
          <w:lang w:eastAsia="cs-CZ"/>
        </w:rPr>
        <w:t> </w:t>
      </w:r>
      <w:r w:rsidRPr="000D5845">
        <w:rPr>
          <w:rFonts w:eastAsia="Times New Roman" w:cs="Arial"/>
          <w:b/>
          <w:caps/>
          <w:color w:val="0093D6"/>
          <w:lang w:eastAsia="cs-CZ"/>
        </w:rPr>
        <w:t>diskuzi</w:t>
      </w:r>
      <w:r w:rsidR="00D05143">
        <w:rPr>
          <w:rFonts w:eastAsia="Times New Roman" w:cs="Arial"/>
          <w:b/>
          <w:caps/>
          <w:color w:val="0093D6"/>
          <w:lang w:eastAsia="cs-CZ"/>
        </w:rPr>
        <w:t xml:space="preserve"> </w:t>
      </w:r>
      <w:bookmarkStart w:id="0" w:name="_GoBack"/>
      <w:bookmarkEnd w:id="0"/>
      <w:r w:rsidR="00006642" w:rsidRPr="000D5845">
        <w:rPr>
          <w:rFonts w:eastAsia="Times New Roman" w:cs="Arial"/>
          <w:b/>
          <w:caps/>
          <w:color w:val="0093D6"/>
          <w:lang w:eastAsia="cs-CZ"/>
        </w:rPr>
        <w:t>/ DOtazy</w:t>
      </w:r>
    </w:p>
    <w:p w:rsidR="00C64EBE" w:rsidRPr="00C64EBE" w:rsidRDefault="004F1758" w:rsidP="00C64EBE">
      <w:pPr>
        <w:pStyle w:val="Odstavecseseznamem"/>
        <w:numPr>
          <w:ilvl w:val="0"/>
          <w:numId w:val="18"/>
        </w:numPr>
        <w:spacing w:line="240" w:lineRule="auto"/>
        <w:contextualSpacing w:val="0"/>
        <w:rPr>
          <w:i/>
        </w:rPr>
      </w:pPr>
      <w:r w:rsidRPr="000D5845">
        <w:rPr>
          <w:b/>
        </w:rPr>
        <w:t>Citace ze s</w:t>
      </w:r>
      <w:r w:rsidR="00172DD8" w:rsidRPr="000D5845">
        <w:rPr>
          <w:b/>
        </w:rPr>
        <w:t xml:space="preserve">tr. 2 a 3: </w:t>
      </w:r>
    </w:p>
    <w:p w:rsidR="00172DD8" w:rsidRPr="00C64EBE" w:rsidRDefault="0025280A" w:rsidP="00C64EBE">
      <w:pPr>
        <w:spacing w:after="120" w:line="240" w:lineRule="auto"/>
        <w:rPr>
          <w:i/>
        </w:rPr>
      </w:pPr>
      <w:r w:rsidRPr="00C64EBE">
        <w:rPr>
          <w:i/>
        </w:rPr>
        <w:t xml:space="preserve">Kapitola: </w:t>
      </w:r>
      <w:r w:rsidR="004F1758" w:rsidRPr="00C64EBE">
        <w:rPr>
          <w:i/>
        </w:rPr>
        <w:t>„</w:t>
      </w:r>
      <w:r w:rsidR="00172DD8" w:rsidRPr="00C64EBE">
        <w:rPr>
          <w:i/>
        </w:rPr>
        <w:t>I. Návrh celkového konceptu zasazení a fungování NRB v ekonomice</w:t>
      </w:r>
    </w:p>
    <w:p w:rsidR="00172DD8" w:rsidRPr="000D5845" w:rsidRDefault="00172DD8" w:rsidP="00C64EB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cs="Arial"/>
          <w:i/>
        </w:rPr>
      </w:pPr>
      <w:r w:rsidRPr="000D5845">
        <w:rPr>
          <w:rFonts w:cs="Arial"/>
          <w:i/>
        </w:rPr>
        <w:t>NRB bude moci získávat zakázky bez</w:t>
      </w:r>
      <w:r w:rsidRPr="000D5845">
        <w:rPr>
          <w:rFonts w:cs="Arial"/>
          <w:i/>
          <w:color w:val="FF0000"/>
        </w:rPr>
        <w:t xml:space="preserve"> </w:t>
      </w:r>
      <w:r w:rsidRPr="000D5845">
        <w:rPr>
          <w:rFonts w:cs="Arial"/>
          <w:i/>
          <w:color w:val="000000" w:themeColor="text1"/>
        </w:rPr>
        <w:t xml:space="preserve">zadávacího </w:t>
      </w:r>
      <w:r w:rsidRPr="000D5845">
        <w:rPr>
          <w:rFonts w:cs="Arial"/>
          <w:i/>
        </w:rPr>
        <w:t>řízení od veřejných zadavatelů v režimu:</w:t>
      </w:r>
    </w:p>
    <w:p w:rsidR="00172DD8" w:rsidRPr="000D5845" w:rsidRDefault="00172DD8" w:rsidP="00C64EBE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left="567" w:hanging="283"/>
        <w:contextualSpacing w:val="0"/>
        <w:textAlignment w:val="baseline"/>
        <w:rPr>
          <w:rFonts w:cs="Arial"/>
          <w:i/>
        </w:rPr>
      </w:pPr>
      <w:r w:rsidRPr="000D5845">
        <w:rPr>
          <w:rFonts w:cs="Arial"/>
          <w:i/>
        </w:rPr>
        <w:t>§ 11 zákona č. 134/2016 Sb., o zadávání veřejných zakázek (in-house, vertikální spolupráce s ministerstvy společně vykonávajícími práva jediného akcionáře České republiky v působnosti valné hromady NRB), nebo</w:t>
      </w:r>
    </w:p>
    <w:p w:rsidR="00172DD8" w:rsidRPr="000D5845" w:rsidRDefault="00172DD8" w:rsidP="00C64EBE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left="567" w:hanging="283"/>
        <w:contextualSpacing w:val="0"/>
        <w:textAlignment w:val="baseline"/>
        <w:rPr>
          <w:rFonts w:cs="Arial"/>
          <w:i/>
        </w:rPr>
      </w:pPr>
      <w:r w:rsidRPr="000D5845">
        <w:rPr>
          <w:rFonts w:cs="Arial"/>
          <w:i/>
        </w:rPr>
        <w:t>§ 12 zákona č. 134/2016 Sb., o zadávání veřejných zakázek (horizontální spolupráce s veřejnými zadavateli, s nimiž nebude možná spolupráce v režimu in-house).</w:t>
      </w:r>
      <w:r w:rsidR="004F1758" w:rsidRPr="000D5845">
        <w:rPr>
          <w:rFonts w:cs="Arial"/>
          <w:i/>
        </w:rPr>
        <w:t>“</w:t>
      </w:r>
    </w:p>
    <w:p w:rsidR="00172DD8" w:rsidRDefault="004248D9" w:rsidP="00C64EBE">
      <w:pPr>
        <w:pStyle w:val="Textkomente"/>
        <w:spacing w:after="120"/>
        <w:jc w:val="both"/>
        <w:rPr>
          <w:sz w:val="22"/>
          <w:szCs w:val="22"/>
        </w:rPr>
      </w:pPr>
      <w:r w:rsidRPr="000D5845">
        <w:rPr>
          <w:rFonts w:eastAsia="Times New Roman" w:cs="Arial"/>
          <w:b/>
          <w:sz w:val="22"/>
          <w:szCs w:val="22"/>
        </w:rPr>
        <w:t>K diskuzi</w:t>
      </w:r>
      <w:r w:rsidR="004F1758" w:rsidRPr="000D5845">
        <w:rPr>
          <w:rFonts w:eastAsia="Times New Roman" w:cs="Arial"/>
          <w:b/>
          <w:sz w:val="22"/>
          <w:szCs w:val="22"/>
        </w:rPr>
        <w:t xml:space="preserve">: </w:t>
      </w:r>
      <w:r w:rsidR="00172DD8" w:rsidRPr="000D5845">
        <w:rPr>
          <w:rFonts w:eastAsia="Times New Roman" w:cs="Arial"/>
          <w:sz w:val="22"/>
          <w:szCs w:val="22"/>
        </w:rPr>
        <w:t>Podle projektu transformace má jít o zjednodušení</w:t>
      </w:r>
      <w:r w:rsidR="00172DD8" w:rsidRPr="000D5845">
        <w:rPr>
          <w:rFonts w:eastAsia="Times New Roman" w:cs="Arial"/>
          <w:b/>
          <w:sz w:val="22"/>
          <w:szCs w:val="22"/>
        </w:rPr>
        <w:t xml:space="preserve"> </w:t>
      </w:r>
      <w:r w:rsidR="00172DD8" w:rsidRPr="000D5845">
        <w:rPr>
          <w:sz w:val="22"/>
          <w:szCs w:val="22"/>
        </w:rPr>
        <w:t xml:space="preserve">a urychlení mechanismů (tj. přímá kooperace pouze mezi státními institucemi), </w:t>
      </w:r>
      <w:r w:rsidR="004F1758" w:rsidRPr="000D5845">
        <w:rPr>
          <w:b/>
          <w:sz w:val="22"/>
          <w:szCs w:val="22"/>
        </w:rPr>
        <w:t>nemůže zde existovat souběh s existujícími opatřeními pro zvýšení transparentnosti při zadávání a s opatřeními na podporu hospodářské soutěže?</w:t>
      </w:r>
      <w:r w:rsidR="004F1758" w:rsidRPr="000D5845">
        <w:rPr>
          <w:sz w:val="22"/>
          <w:szCs w:val="22"/>
        </w:rPr>
        <w:t xml:space="preserve"> </w:t>
      </w:r>
      <w:r w:rsidR="00172DD8" w:rsidRPr="000D5845">
        <w:rPr>
          <w:sz w:val="22"/>
          <w:szCs w:val="22"/>
        </w:rPr>
        <w:t>Právě kvůli transparentnosti a maximálního zapojení i soukromých subjektů do hospodářské soutěže (na základě v</w:t>
      </w:r>
      <w:r w:rsidR="004F1758" w:rsidRPr="000D5845">
        <w:rPr>
          <w:sz w:val="22"/>
          <w:szCs w:val="22"/>
        </w:rPr>
        <w:t>ypisování ze strany státu) byl přijat např. výše zmíněný zákon o zadávání veřejných zakázek přijat</w:t>
      </w:r>
      <w:r w:rsidR="00172DD8" w:rsidRPr="000D5845">
        <w:rPr>
          <w:sz w:val="22"/>
          <w:szCs w:val="22"/>
        </w:rPr>
        <w:t>.</w:t>
      </w:r>
    </w:p>
    <w:p w:rsidR="00C64EBE" w:rsidRPr="000D5845" w:rsidRDefault="00C64EBE" w:rsidP="00C64EBE">
      <w:pPr>
        <w:pStyle w:val="Textkomente"/>
        <w:spacing w:after="120"/>
        <w:jc w:val="both"/>
        <w:rPr>
          <w:sz w:val="22"/>
          <w:szCs w:val="22"/>
        </w:rPr>
      </w:pPr>
    </w:p>
    <w:p w:rsidR="00C64EBE" w:rsidRPr="00C64EBE" w:rsidRDefault="00B13B1A" w:rsidP="00C64EBE">
      <w:pPr>
        <w:pStyle w:val="Odstavecseseznamem"/>
        <w:numPr>
          <w:ilvl w:val="0"/>
          <w:numId w:val="18"/>
        </w:numPr>
        <w:spacing w:line="240" w:lineRule="auto"/>
        <w:contextualSpacing w:val="0"/>
        <w:rPr>
          <w:i/>
        </w:rPr>
      </w:pPr>
      <w:r w:rsidRPr="000D5845">
        <w:rPr>
          <w:rFonts w:eastAsia="Times New Roman"/>
          <w:b/>
          <w:lang w:eastAsia="cs-CZ"/>
        </w:rPr>
        <w:t>Citace ze s</w:t>
      </w:r>
      <w:r w:rsidR="00172DD8" w:rsidRPr="000D5845">
        <w:rPr>
          <w:rFonts w:eastAsia="Times New Roman"/>
          <w:b/>
          <w:lang w:eastAsia="cs-CZ"/>
        </w:rPr>
        <w:t>tr. 15:</w:t>
      </w:r>
      <w:r w:rsidRPr="000D5845">
        <w:rPr>
          <w:rFonts w:eastAsia="Times New Roman"/>
          <w:b/>
          <w:lang w:eastAsia="cs-CZ"/>
        </w:rPr>
        <w:t xml:space="preserve"> </w:t>
      </w:r>
    </w:p>
    <w:p w:rsidR="00172DD8" w:rsidRPr="00C64EBE" w:rsidRDefault="0025280A" w:rsidP="00C64EBE">
      <w:pPr>
        <w:spacing w:after="120" w:line="240" w:lineRule="auto"/>
        <w:rPr>
          <w:i/>
        </w:rPr>
      </w:pPr>
      <w:r w:rsidRPr="00C64EBE">
        <w:rPr>
          <w:i/>
        </w:rPr>
        <w:t xml:space="preserve">Kapitola: </w:t>
      </w:r>
      <w:r w:rsidR="00B13B1A" w:rsidRPr="00C64EBE">
        <w:rPr>
          <w:i/>
        </w:rPr>
        <w:t>„</w:t>
      </w:r>
      <w:r w:rsidR="00172DD8" w:rsidRPr="00C64EBE">
        <w:rPr>
          <w:i/>
        </w:rPr>
        <w:t>IX. Statistické zařazení NRB a vliv na výši státního dluhu</w:t>
      </w:r>
      <w:r w:rsidR="00B13B1A" w:rsidRPr="00C64EBE">
        <w:rPr>
          <w:i/>
        </w:rPr>
        <w:t>;</w:t>
      </w:r>
    </w:p>
    <w:p w:rsidR="00172DD8" w:rsidRPr="000D5845" w:rsidRDefault="00172DD8" w:rsidP="00C64EBE">
      <w:pPr>
        <w:pStyle w:val="Odstavecseseznamem"/>
        <w:numPr>
          <w:ilvl w:val="0"/>
          <w:numId w:val="15"/>
        </w:numPr>
        <w:spacing w:line="240" w:lineRule="auto"/>
        <w:ind w:left="714" w:hanging="357"/>
        <w:contextualSpacing w:val="0"/>
        <w:rPr>
          <w:rFonts w:cs="Arial"/>
          <w:i/>
        </w:rPr>
      </w:pPr>
      <w:r w:rsidRPr="000D5845">
        <w:rPr>
          <w:rFonts w:cs="Arial"/>
          <w:i/>
        </w:rPr>
        <w:t>Ve Sdělení Komise k národním rozvojovým bankám při podpoře Investičního plánu pro Evropu se k problematice sektorového zařazení národních rozvojových bank uvádí:</w:t>
      </w:r>
    </w:p>
    <w:p w:rsidR="00172DD8" w:rsidRPr="000D5845" w:rsidRDefault="00172DD8" w:rsidP="00C64EBE">
      <w:pPr>
        <w:pStyle w:val="Odstavecseseznamem"/>
        <w:numPr>
          <w:ilvl w:val="0"/>
          <w:numId w:val="15"/>
        </w:numPr>
        <w:spacing w:line="240" w:lineRule="auto"/>
        <w:ind w:left="714" w:hanging="357"/>
        <w:contextualSpacing w:val="0"/>
        <w:rPr>
          <w:rFonts w:cs="Arial"/>
          <w:i/>
        </w:rPr>
      </w:pPr>
      <w:r w:rsidRPr="000D5845">
        <w:rPr>
          <w:rFonts w:cs="Arial"/>
          <w:i/>
        </w:rPr>
        <w:t>„Poskytování a přijímání úvěrů národními podpůrnými bankami se obecně nezahrnují do vládních finančních statistik, protože do rozhodnutí o úvěrech vláda nezasahuje a členové řídicích orgánů jsou na vládě nezávislí. Za těchto podmínek operace národní podpůrné banky, které splňují tyto požadavky, tudíž nespadají do oblasti působnosti Paktu EU o stabilitě a růstu.“</w:t>
      </w:r>
    </w:p>
    <w:p w:rsidR="00172DD8" w:rsidRPr="000D5845" w:rsidRDefault="00172DD8" w:rsidP="00C64EBE">
      <w:pPr>
        <w:pStyle w:val="Odstavecseseznamem"/>
        <w:numPr>
          <w:ilvl w:val="0"/>
          <w:numId w:val="15"/>
        </w:numPr>
        <w:spacing w:line="240" w:lineRule="auto"/>
        <w:ind w:left="714" w:hanging="357"/>
        <w:contextualSpacing w:val="0"/>
        <w:rPr>
          <w:rFonts w:cs="Arial"/>
          <w:i/>
        </w:rPr>
      </w:pPr>
      <w:r w:rsidRPr="000D5845">
        <w:rPr>
          <w:rFonts w:cs="Arial"/>
          <w:i/>
        </w:rPr>
        <w:t>ČMZRB je, přestože ve vztahu k většině svých aktivit plně naplňuje výše uvedené podmínky, od roku 2015 zařazena do sektoru vládních institucí (S 13), nikoliv do sektoru finančních institucí (S12).</w:t>
      </w:r>
    </w:p>
    <w:p w:rsidR="004F0CF1" w:rsidRPr="000D5845" w:rsidRDefault="00172DD8" w:rsidP="00C64EBE">
      <w:pPr>
        <w:pStyle w:val="Odstavecseseznamem"/>
        <w:numPr>
          <w:ilvl w:val="0"/>
          <w:numId w:val="15"/>
        </w:numPr>
        <w:spacing w:line="240" w:lineRule="auto"/>
        <w:ind w:left="714" w:hanging="357"/>
        <w:contextualSpacing w:val="0"/>
        <w:rPr>
          <w:rFonts w:cs="Arial"/>
          <w:b/>
          <w:i/>
        </w:rPr>
      </w:pPr>
      <w:r w:rsidRPr="000D5845">
        <w:rPr>
          <w:rFonts w:cs="Arial"/>
          <w:b/>
          <w:i/>
        </w:rPr>
        <w:t xml:space="preserve">Negativní dopad současného statistického zařazení ČMZRB: </w:t>
      </w:r>
    </w:p>
    <w:p w:rsidR="00172DD8" w:rsidRPr="000D5845" w:rsidRDefault="00172DD8" w:rsidP="00C64EBE">
      <w:pPr>
        <w:pStyle w:val="Odstavecseseznamem"/>
        <w:numPr>
          <w:ilvl w:val="0"/>
          <w:numId w:val="16"/>
        </w:numPr>
        <w:spacing w:line="240" w:lineRule="auto"/>
        <w:ind w:left="714" w:hanging="357"/>
        <w:contextualSpacing w:val="0"/>
        <w:rPr>
          <w:rFonts w:cs="Arial"/>
          <w:i/>
        </w:rPr>
      </w:pPr>
      <w:r w:rsidRPr="000D5845">
        <w:rPr>
          <w:rFonts w:cs="Arial"/>
          <w:i/>
        </w:rPr>
        <w:t>Dopadem současného zařazení ČMZRB je, že transakce a dluhové závazky ČMZRB s ohledem na její sektorové zatřídění přímo ovlivňují vládní deficit a dluh v metodice ESA 2010.</w:t>
      </w:r>
    </w:p>
    <w:p w:rsidR="00B13B1A" w:rsidRDefault="00B13B1A" w:rsidP="00C64EBE">
      <w:pPr>
        <w:pStyle w:val="Odstavecseseznamem"/>
        <w:numPr>
          <w:ilvl w:val="0"/>
          <w:numId w:val="16"/>
        </w:numPr>
        <w:spacing w:line="240" w:lineRule="auto"/>
        <w:ind w:left="714" w:hanging="357"/>
        <w:contextualSpacing w:val="0"/>
        <w:rPr>
          <w:rFonts w:cs="Arial"/>
          <w:i/>
        </w:rPr>
      </w:pPr>
      <w:r w:rsidRPr="000D5845">
        <w:rPr>
          <w:rFonts w:cs="Arial"/>
          <w:i/>
        </w:rPr>
        <w:lastRenderedPageBreak/>
        <w:t xml:space="preserve">Tento stav z dlouhodobého hlediska </w:t>
      </w:r>
      <w:r w:rsidRPr="000D5845">
        <w:rPr>
          <w:rFonts w:cs="Arial"/>
          <w:b/>
          <w:i/>
        </w:rPr>
        <w:t>omezuje</w:t>
      </w:r>
      <w:r w:rsidRPr="000D5845">
        <w:rPr>
          <w:rFonts w:cs="Arial"/>
          <w:i/>
        </w:rPr>
        <w:t xml:space="preserve"> využití ČMZRB jako národní rozvojové banky </w:t>
      </w:r>
      <w:r w:rsidRPr="000D5845">
        <w:rPr>
          <w:rFonts w:cs="Arial"/>
          <w:i/>
        </w:rPr>
        <w:br/>
        <w:t xml:space="preserve">a obecně </w:t>
      </w:r>
      <w:r w:rsidRPr="000D5845">
        <w:rPr>
          <w:rFonts w:cs="Arial"/>
          <w:b/>
          <w:i/>
        </w:rPr>
        <w:t>účinné fungování NRB</w:t>
      </w:r>
      <w:r w:rsidRPr="000D5845">
        <w:rPr>
          <w:rFonts w:cs="Arial"/>
          <w:i/>
        </w:rPr>
        <w:t xml:space="preserve"> jako takové, protože </w:t>
      </w:r>
      <w:r w:rsidRPr="000D5845">
        <w:rPr>
          <w:rFonts w:cs="Arial"/>
          <w:b/>
          <w:i/>
          <w:u w:val="single"/>
        </w:rPr>
        <w:t>v případě, kdy by ČMZRB pro plnění svých úkolů realizovala rozsáhlejší výpůjčky či emise dluhopisů, promítaly by se její závazky do ukazatele zadluženosti České republiky</w:t>
      </w:r>
      <w:r w:rsidRPr="000D5845">
        <w:rPr>
          <w:rFonts w:cs="Arial"/>
          <w:i/>
        </w:rPr>
        <w:t xml:space="preserve">. Česká republika by tak z uvedeného důvodu </w:t>
      </w:r>
      <w:r w:rsidRPr="000D5845">
        <w:rPr>
          <w:rFonts w:cs="Arial"/>
          <w:b/>
          <w:i/>
          <w:u w:val="single"/>
        </w:rPr>
        <w:t>nemohla využívat NRB způsobem, který je pro tyto subjekty v EU obvyklý, tj. k získávání prostředků na finančním trhu</w:t>
      </w:r>
      <w:r w:rsidRPr="000D5845">
        <w:rPr>
          <w:rFonts w:cs="Arial"/>
          <w:i/>
        </w:rPr>
        <w:t xml:space="preserve"> k realizaci záměrů hospodářské a sociální politiky státu, aniž by to ovlivňovalo zadluženost vládního sektoru.“</w:t>
      </w:r>
    </w:p>
    <w:p w:rsidR="00C64EBE" w:rsidRPr="000D5845" w:rsidRDefault="00C64EBE" w:rsidP="00C64EBE">
      <w:pPr>
        <w:pStyle w:val="Odstavecseseznamem"/>
        <w:spacing w:line="240" w:lineRule="auto"/>
        <w:ind w:left="714"/>
        <w:contextualSpacing w:val="0"/>
        <w:rPr>
          <w:rFonts w:cs="Arial"/>
          <w:i/>
        </w:rPr>
      </w:pPr>
    </w:p>
    <w:p w:rsidR="000D4DAC" w:rsidRDefault="00B13B1A" w:rsidP="00C64EBE">
      <w:pPr>
        <w:pStyle w:val="Odstavecseseznamem"/>
        <w:numPr>
          <w:ilvl w:val="0"/>
          <w:numId w:val="18"/>
        </w:numPr>
        <w:spacing w:line="240" w:lineRule="auto"/>
        <w:contextualSpacing w:val="0"/>
        <w:rPr>
          <w:rFonts w:eastAsia="Times New Roman" w:cs="Arial"/>
          <w:b/>
          <w:lang w:eastAsia="cs-CZ"/>
        </w:rPr>
      </w:pPr>
      <w:r w:rsidRPr="00C64EBE">
        <w:rPr>
          <w:rFonts w:eastAsia="Times New Roman" w:cs="Arial"/>
          <w:b/>
          <w:lang w:eastAsia="cs-CZ"/>
        </w:rPr>
        <w:t>Citace ze s</w:t>
      </w:r>
      <w:r w:rsidR="00172DD8" w:rsidRPr="00C64EBE">
        <w:rPr>
          <w:rFonts w:eastAsia="Times New Roman" w:cs="Arial"/>
          <w:b/>
          <w:lang w:eastAsia="cs-CZ"/>
        </w:rPr>
        <w:t>tr. 16:</w:t>
      </w:r>
      <w:r w:rsidRPr="00C64EBE">
        <w:rPr>
          <w:rFonts w:eastAsia="Times New Roman" w:cs="Arial"/>
          <w:b/>
          <w:lang w:eastAsia="cs-CZ"/>
        </w:rPr>
        <w:t xml:space="preserve"> </w:t>
      </w:r>
    </w:p>
    <w:p w:rsidR="00172DD8" w:rsidRPr="000D5845" w:rsidRDefault="00B13B1A" w:rsidP="00C64EBE">
      <w:pPr>
        <w:pStyle w:val="Odstavecseseznamem"/>
        <w:numPr>
          <w:ilvl w:val="0"/>
          <w:numId w:val="17"/>
        </w:numPr>
        <w:spacing w:line="240" w:lineRule="auto"/>
        <w:ind w:left="714" w:hanging="357"/>
        <w:contextualSpacing w:val="0"/>
        <w:rPr>
          <w:rFonts w:cs="Arial"/>
          <w:i/>
        </w:rPr>
      </w:pPr>
      <w:r w:rsidRPr="000D5845">
        <w:rPr>
          <w:rFonts w:cs="Arial"/>
          <w:i/>
        </w:rPr>
        <w:t>„</w:t>
      </w:r>
      <w:r w:rsidR="00172DD8" w:rsidRPr="000D5845">
        <w:rPr>
          <w:rFonts w:cs="Arial"/>
          <w:i/>
        </w:rPr>
        <w:t>Cílem banky je přispět a podílet se na podpoře hospodářského a sociálního rozvoje České republiky prostřednictvím poskytování zvýhodněných finančních produktů, zejména v oblastech malého a středního podnikání, rozvoje infrastruktury a dalších sektorech ekonomiky.“</w:t>
      </w:r>
    </w:p>
    <w:p w:rsidR="00172DD8" w:rsidRPr="000D5845" w:rsidRDefault="000D4DAC" w:rsidP="00C64EBE">
      <w:pPr>
        <w:pStyle w:val="Odstavecseseznamem"/>
        <w:numPr>
          <w:ilvl w:val="0"/>
          <w:numId w:val="17"/>
        </w:numPr>
        <w:spacing w:line="240" w:lineRule="auto"/>
        <w:ind w:left="714" w:hanging="357"/>
        <w:contextualSpacing w:val="0"/>
        <w:rPr>
          <w:rFonts w:cs="Arial"/>
          <w:i/>
        </w:rPr>
      </w:pPr>
      <w:r w:rsidRPr="000D5845">
        <w:rPr>
          <w:rFonts w:cs="Arial"/>
          <w:i/>
        </w:rPr>
        <w:t xml:space="preserve">O </w:t>
      </w:r>
      <w:r w:rsidR="00172DD8" w:rsidRPr="000D5845">
        <w:rPr>
          <w:rFonts w:cs="Arial"/>
          <w:i/>
        </w:rPr>
        <w:t>konkrétních aktivitách rozhoduje ČMZRB samostatně jako obchodní korporace a stát nemůže vůči bance vystupovat jiným způsobem než jako akcionář, což vylučuje, aby jakkoliv zasahoval do vedení obchodů banky, protože by takovým zásahem došlo k porušení zákona.</w:t>
      </w:r>
      <w:r w:rsidR="00B13B1A" w:rsidRPr="000D5845">
        <w:rPr>
          <w:rFonts w:cs="Arial"/>
          <w:i/>
        </w:rPr>
        <w:t>“</w:t>
      </w:r>
    </w:p>
    <w:p w:rsidR="00B13B1A" w:rsidRPr="000D5845" w:rsidRDefault="004248D9" w:rsidP="00C64EBE">
      <w:pPr>
        <w:pStyle w:val="Textkomente"/>
        <w:spacing w:after="120"/>
        <w:jc w:val="both"/>
        <w:rPr>
          <w:rFonts w:eastAsia="Times New Roman" w:cs="Arial"/>
          <w:sz w:val="22"/>
          <w:szCs w:val="22"/>
        </w:rPr>
      </w:pPr>
      <w:r w:rsidRPr="000D5845">
        <w:rPr>
          <w:rFonts w:eastAsia="Times New Roman" w:cs="Arial"/>
          <w:b/>
          <w:sz w:val="22"/>
          <w:szCs w:val="22"/>
        </w:rPr>
        <w:t>K diskuzi:</w:t>
      </w:r>
      <w:r w:rsidRPr="000D5845">
        <w:rPr>
          <w:rFonts w:eastAsia="Times New Roman" w:cs="Arial"/>
          <w:sz w:val="22"/>
          <w:szCs w:val="22"/>
        </w:rPr>
        <w:t xml:space="preserve"> </w:t>
      </w:r>
      <w:r w:rsidR="00B13B1A" w:rsidRPr="000D5845">
        <w:rPr>
          <w:rFonts w:eastAsia="Times New Roman" w:cs="Arial"/>
          <w:sz w:val="22"/>
          <w:szCs w:val="22"/>
        </w:rPr>
        <w:t xml:space="preserve">Nemůže statistické vyloučení NRB ze sektoru vládních institucí přinést </w:t>
      </w:r>
      <w:r w:rsidR="00B13B1A" w:rsidRPr="000D5845">
        <w:rPr>
          <w:rFonts w:eastAsia="Times New Roman" w:cs="Arial"/>
          <w:b/>
          <w:sz w:val="22"/>
          <w:szCs w:val="22"/>
        </w:rPr>
        <w:t>nepřesné vnímání reálné výše vládního dluhu a vládního deficitu</w:t>
      </w:r>
      <w:r w:rsidR="00B13B1A" w:rsidRPr="000D5845">
        <w:rPr>
          <w:rFonts w:eastAsia="Times New Roman" w:cs="Arial"/>
          <w:sz w:val="22"/>
          <w:szCs w:val="22"/>
        </w:rPr>
        <w:t>? Resp. lze vyloučit nebezpečí, že vyšší aktivita NRB oproti stávajícímu stavu (ČMZRB je v posledních letech zisková, např. v r. 2016 byl zisk po zdanění 28 mil. Kč) nepovede k nárůstu skrytých tlaků na státní rozpočet?</w:t>
      </w:r>
    </w:p>
    <w:p w:rsidR="0043235A" w:rsidRPr="000D5845" w:rsidRDefault="004248D9" w:rsidP="00C64EBE">
      <w:pPr>
        <w:pStyle w:val="Textkomente"/>
        <w:spacing w:after="120"/>
        <w:rPr>
          <w:rFonts w:eastAsia="Times New Roman" w:cs="Arial"/>
          <w:b/>
        </w:rPr>
      </w:pPr>
      <w:r w:rsidRPr="000D5845">
        <w:rPr>
          <w:rFonts w:eastAsia="Times New Roman" w:cs="Arial"/>
          <w:sz w:val="22"/>
          <w:szCs w:val="22"/>
        </w:rPr>
        <w:t>Může znamenat změna statistického zařazení národní rozvojové banky budoucí motivaci pro zbylé srovnatelné instituce v daném statistickém zařazení (tj. ČEB a EGAP) rovněž ke snaze o změnu tohoto zařazení?</w:t>
      </w:r>
    </w:p>
    <w:sectPr w:rsidR="0043235A" w:rsidRPr="000D5845" w:rsidSect="0066576E"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567" w:footer="19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2B" w:rsidRDefault="00E54E2B" w:rsidP="005F7548">
      <w:pPr>
        <w:spacing w:after="0" w:line="240" w:lineRule="auto"/>
      </w:pPr>
      <w:r>
        <w:separator/>
      </w:r>
    </w:p>
  </w:endnote>
  <w:endnote w:type="continuationSeparator" w:id="0">
    <w:p w:rsidR="00E54E2B" w:rsidRDefault="00E54E2B" w:rsidP="005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E4" w:rsidRDefault="00C64EB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5850890</wp:posOffset>
              </wp:positionH>
              <wp:positionV relativeFrom="paragraph">
                <wp:posOffset>374650</wp:posOffset>
              </wp:positionV>
              <wp:extent cx="374650" cy="245110"/>
              <wp:effectExtent l="0" t="0" r="0" b="2540"/>
              <wp:wrapNone/>
              <wp:docPr id="34" name="Textové po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650" cy="245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46E4" w:rsidRPr="00936EF5" w:rsidRDefault="0073705D" w:rsidP="001946E4">
                          <w:pPr>
                            <w:jc w:val="right"/>
                            <w:rPr>
                              <w:color w:val="272154"/>
                            </w:rPr>
                          </w:pPr>
                          <w:r w:rsidRPr="00936EF5">
                            <w:rPr>
                              <w:color w:val="272154"/>
                            </w:rPr>
                            <w:fldChar w:fldCharType="begin"/>
                          </w:r>
                          <w:r w:rsidR="001946E4" w:rsidRPr="00936EF5">
                            <w:rPr>
                              <w:color w:val="272154"/>
                            </w:rPr>
                            <w:instrText>PAGE   \* MERGEFORMAT</w:instrText>
                          </w:r>
                          <w:r w:rsidRPr="00936EF5">
                            <w:rPr>
                              <w:color w:val="272154"/>
                            </w:rPr>
                            <w:fldChar w:fldCharType="separate"/>
                          </w:r>
                          <w:r w:rsidR="00D05143">
                            <w:rPr>
                              <w:noProof/>
                              <w:color w:val="272154"/>
                            </w:rPr>
                            <w:t>3</w:t>
                          </w:r>
                          <w:r w:rsidRPr="00936EF5">
                            <w:rPr>
                              <w:color w:val="27215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4" o:spid="_x0000_s1026" type="#_x0000_t202" style="position:absolute;margin-left:460.7pt;margin-top:29.5pt;width:29.5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gpkwIAAIEFAAAOAAAAZHJzL2Uyb0RvYy54bWysVN1u0zAUvkfiHSzfszRtt0G0dCqdhpCq&#10;bWJDu3Yde41m+xjbbVLeiOfgxTh2krYMboa4SY7P+c7/z8VlqxXZCudrMCXNT0aUCMOhqs1TSb8+&#10;XL97T4kPzFRMgREl3QlPL2dv31w0thBjWIOqhCNoxPiisSVdh2CLLPN8LTTzJ2CFQaEEp1nAp3vK&#10;KscatK5VNh6NzrIGXGUdcOE9cq86IZ0l+1IKHm6l9CIQVVKMLaSvS99V/GazC1Y8OWbXNe/DYP8Q&#10;hWa1Qad7U1csMLJx9R+mdM0deJDhhIPOQMqai5QDZpOPXmRzv2ZWpFywON7uy+T/n1l+s71zpK5K&#10;OplSYpjGHj2INsD25w9iQQmCfCxSY32B2HuL6NB+hBabnRL2dgn82SMkO8J0Ch7RsSitdDr+MV2C&#10;itiH3b726ItwZE7Op2enKOEoGk9P8zz1JjsoW+fDJwGaRKKkDlubAmDbpQ/RPSsGSPRl4LpWKrVX&#10;GdKU9GyC5n+ToIYykSPSoPRmYhZd4IkKOyUiRpkvQmKhUvyRkUZULJQjW4bDxTgXJuSxVskuoiNK&#10;YhCvUezxh6heo9zlMXgGE/bKujbgun7FzTqEXT0PIcsO3/fRd3nHEoR21WJWkVxBtcMBcNDtkbf8&#10;usZuLJkPd8zh4mAD8RiEW/xIBVh16ClK1uC+/40f8TjPKKWkwUUsqf+2YU5Qoj4bnPQP+XQaNzc9&#10;pqfnY3y4Y8nqWGI2egHYjhzPjuWJjPigBlI60I94M+bRK4qY4ei7pGEgF6E7D3hzuJjPEwh31bKw&#10;NPeWD3MfZ+2hfWTO9gMZcJJvYFhZVryYyw4b+2pgvgkg6zS0h6r2hcc9TxPU36R4SI7fCXW4nLNf&#10;AAAA//8DAFBLAwQUAAYACAAAACEAHUcocOAAAAAJAQAADwAAAGRycy9kb3ducmV2LnhtbEyPQU/D&#10;MAyF70j8h8hI3Fi6Cba2azpNCC5ICG1MQrt5TWgKiVOabCv/HnOCm+339Py9ajV6J05miF0gBdNJ&#10;BsJQE3RHrYLd6+NNDiImJI0ukFHwbSKs6suLCksdzrQxp21qBYdQLFGBTakvpYyNNR7jJPSGWHsP&#10;g8fE69BKPeCZw72TsyybS48d8QeLvbm3pvncHr2CRb7X9mN4Gndvz+sv+9JL94BSqeurcb0EkcyY&#10;/szwi8/oUDPTIRxJR+EUFLPpLVsV3BXciQ1FnvHhwMNiDrKu5P8G9Q8AAAD//wMAUEsBAi0AFAAG&#10;AAgAAAAhALaDOJL+AAAA4QEAABMAAAAAAAAAAAAAAAAAAAAAAFtDb250ZW50X1R5cGVzXS54bWxQ&#10;SwECLQAUAAYACAAAACEAOP0h/9YAAACUAQAACwAAAAAAAAAAAAAAAAAvAQAAX3JlbHMvLnJlbHNQ&#10;SwECLQAUAAYACAAAACEAfmXoKZMCAACBBQAADgAAAAAAAAAAAAAAAAAuAgAAZHJzL2Uyb0RvYy54&#10;bWxQSwECLQAUAAYACAAAACEAHUcocOAAAAAJAQAADwAAAAAAAAAAAAAAAADtBAAAZHJzL2Rvd25y&#10;ZXYueG1sUEsFBgAAAAAEAAQA8wAAAPoFAAAAAA==&#10;" filled="f" stroked="f" strokeweight=".5pt">
              <v:path arrowok="t"/>
              <v:textbox>
                <w:txbxContent>
                  <w:p w:rsidR="001946E4" w:rsidRPr="00936EF5" w:rsidRDefault="0073705D" w:rsidP="001946E4">
                    <w:pPr>
                      <w:jc w:val="right"/>
                      <w:rPr>
                        <w:color w:val="272154"/>
                      </w:rPr>
                    </w:pPr>
                    <w:r w:rsidRPr="00936EF5">
                      <w:rPr>
                        <w:color w:val="272154"/>
                      </w:rPr>
                      <w:fldChar w:fldCharType="begin"/>
                    </w:r>
                    <w:r w:rsidR="001946E4" w:rsidRPr="00936EF5">
                      <w:rPr>
                        <w:color w:val="272154"/>
                      </w:rPr>
                      <w:instrText>PAGE   \* MERGEFORMAT</w:instrText>
                    </w:r>
                    <w:r w:rsidRPr="00936EF5">
                      <w:rPr>
                        <w:color w:val="272154"/>
                      </w:rPr>
                      <w:fldChar w:fldCharType="separate"/>
                    </w:r>
                    <w:r w:rsidR="00D05143">
                      <w:rPr>
                        <w:noProof/>
                        <w:color w:val="272154"/>
                      </w:rPr>
                      <w:t>3</w:t>
                    </w:r>
                    <w:r w:rsidRPr="00936EF5">
                      <w:rPr>
                        <w:color w:val="27215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742" w:rsidRDefault="00C64EB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32385</wp:posOffset>
              </wp:positionH>
              <wp:positionV relativeFrom="paragraph">
                <wp:posOffset>260350</wp:posOffset>
              </wp:positionV>
              <wp:extent cx="4161790" cy="733425"/>
              <wp:effectExtent l="0" t="0" r="0" b="952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1790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09C1" w:rsidRDefault="00AA09C1" w:rsidP="00AA09C1">
                          <w:pPr>
                            <w:pStyle w:val="Zkladnodstavec"/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telefon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(+420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) 225 279 111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|  E-mail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spcr@spcr.cz</w:t>
                          </w:r>
                        </w:p>
                        <w:p w:rsidR="00945BF2" w:rsidRPr="00820FF9" w:rsidRDefault="00AA09C1" w:rsidP="00945BF2">
                          <w:pPr>
                            <w:rPr>
                              <w:caps/>
                            </w:rPr>
                          </w:pPr>
                          <w:proofErr w:type="gramStart"/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Web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.spcr.cz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|  Adresa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Freyova 948/11, 190 00 Praha 9</w:t>
                          </w:r>
                          <w:r w:rsidR="00945BF2"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br/>
                          </w:r>
                          <w:r w:rsidR="00945BF2" w:rsidRPr="00945BF2"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Zapsaný ve spolkovém rejstříku, vedeném Městským soudem v Praze oddíl L, vložka 3148. </w:t>
                          </w:r>
                          <w:r w:rsidR="00945BF2" w:rsidRPr="00945BF2"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br/>
                            <w:t>IČ0: 00536211, DIČ: CZ00536211.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2.55pt;margin-top:20.5pt;width:327.7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XYpnAIAAKcFAAAOAAAAZHJzL2Uyb0RvYy54bWysVFFPGzEMfp+0/xDlfVxbKGwnrqgDMU2q&#10;AA0mntNcQiOSOEvS3nX/aL9jf2xO7q4FxgvTXu4c57Md2599etYaTTbCBwW2ouODESXCcqiVfajo&#10;97vLDx8pCZHZmmmwoqJbEejZ7P2708aVYgIr0LXwBJ3YUDauoqsYXVkUga+EYeEAnLB4KcEbFvHo&#10;H4raswa9G11MRqPjogFfOw9chIDai+6SzrJ/KQWP11IGEYmuKL4t5q/P32X6FrNTVj545laK989g&#10;//AKw5TFoDtXFywysvbqL1dGcQ8BZDzgYAqQUnGRc8BsxqMX2dyumBM5FyxOcLsyhf/nll9tbjxR&#10;dUWnlFhmsEV3oo2w+f2LONCCTFOJGhdKRN46xMb2M7TY6pxucAvgjwEhxRNMZxAQnUrSSm/SH5Ml&#10;aIhd2O4qj6EIR+XR+Hh88gmvON6dHB4eTXLcYm/tfIhfBBiShIp67Gx+AdssQkzxWTlAUrAAWtWX&#10;Sut8SGwS59qTDUMe6DhOSaHFM5S2pKno8eF0lB1bSOYdTtvkRmQ+9eFSul2GWYpbLRJG229CYj1z&#10;oq/EZpwLu4uf0QklMdRbDHv8/lVvMe7yQIscGWzcGRtlwXeNfV6y+nEomezwfcNDl3cqQWyXbSZS&#10;RibNEuotEsZDN3XB8UuFzVuwEG+YxzHDfuPqiNf4kRqw+NBLlKzA/3xNn/DIfrylpMGxrWj4sWZe&#10;UKK/WpyLNONZOJqeTPDgB+3yqdauzTkgE8a4nBzPYsJGPYjSg7nHzTJP0fCKWY4xKxoH8Tx2SwQ3&#10;ExfzeQbhRDsWF/bW8WE+EiXv2nvmXc/biIy/gmGwWfmCvh029cXCfB1BqsztfTX7uuM2yATuN1da&#10;N0/PGbXfr7M/AAAA//8DAFBLAwQUAAYACAAAACEAuCOI+twAAAAIAQAADwAAAGRycy9kb3ducmV2&#10;LnhtbEyPQUvEMBCF74L/IYzgzU1abFhq00VEPS1Cuwtes83YFpukNNlt9t87nvQ4vI8336t2yU7s&#10;gksYvVOQbQQwdJ03o+sVHA9vD1tgIWpn9OQdKrhigF19e1Pp0vjVNXhpY8+oxIVSKxhinEvOQzeg&#10;1WHjZ3SUffnF6kjn0nOz6JXK7cRzISS3enT0YdAzvgzYfbdnq0CkY374fG/w+rHfpua1Dblc90rd&#10;36XnJ2ARU/yD4Vef1KEmp5M/OxPYpKDICFTwmNEiiqUUBbATcYUsgNcV/z+g/gEAAP//AwBQSwEC&#10;LQAUAAYACAAAACEAtoM4kv4AAADhAQAAEwAAAAAAAAAAAAAAAAAAAAAAW0NvbnRlbnRfVHlwZXNd&#10;LnhtbFBLAQItABQABgAIAAAAIQA4/SH/1gAAAJQBAAALAAAAAAAAAAAAAAAAAC8BAABfcmVscy8u&#10;cmVsc1BLAQItABQABgAIAAAAIQDs6XYpnAIAAKcFAAAOAAAAAAAAAAAAAAAAAC4CAABkcnMvZTJv&#10;RG9jLnhtbFBLAQItABQABgAIAAAAIQC4I4j63AAAAAgBAAAPAAAAAAAAAAAAAAAAAPYEAABkcnMv&#10;ZG93bnJldi54bWxQSwUGAAAAAAQABADzAAAA/wUAAAAA&#10;" fillcolor="white [3201]" stroked="f" strokeweight=".5pt">
              <v:path arrowok="t"/>
              <v:textbox inset="0,,0">
                <w:txbxContent>
                  <w:p w:rsidR="00AA09C1" w:rsidRDefault="00AA09C1" w:rsidP="00AA09C1">
                    <w:pPr>
                      <w:pStyle w:val="Zkladnodstavec"/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telefon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(+420</w:t>
                    </w:r>
                    <w:proofErr w:type="gramEnd"/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) 225 279 111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|  E-mail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spcr@spcr.cz</w:t>
                    </w:r>
                  </w:p>
                  <w:p w:rsidR="00945BF2" w:rsidRPr="00820FF9" w:rsidRDefault="00AA09C1" w:rsidP="00945BF2">
                    <w:pPr>
                      <w:rPr>
                        <w:caps/>
                      </w:rPr>
                    </w:pPr>
                    <w:proofErr w:type="gramStart"/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Web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www</w:t>
                    </w:r>
                    <w:proofErr w:type="gramEnd"/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.spcr.cz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|  Adresa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Freyova 948/11, 190 00 Praha 9</w:t>
                    </w:r>
                    <w:r w:rsidR="00945BF2"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br/>
                    </w:r>
                    <w:r w:rsidR="00945BF2" w:rsidRPr="00945BF2"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Zapsaný ve spolkovém rejstříku, vedeném Městským soudem v Praze oddíl L, vložka 3148. </w:t>
                    </w:r>
                    <w:r w:rsidR="00945BF2" w:rsidRPr="00945BF2"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br/>
                      <w:t>IČ0: 00536211, DIČ: CZ00536211.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2B" w:rsidRDefault="00E54E2B" w:rsidP="005F7548">
      <w:pPr>
        <w:spacing w:after="0" w:line="240" w:lineRule="auto"/>
      </w:pPr>
      <w:r>
        <w:separator/>
      </w:r>
    </w:p>
  </w:footnote>
  <w:footnote w:type="continuationSeparator" w:id="0">
    <w:p w:rsidR="00E54E2B" w:rsidRDefault="00E54E2B" w:rsidP="005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742" w:rsidRDefault="004B27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35560</wp:posOffset>
          </wp:positionH>
          <wp:positionV relativeFrom="paragraph">
            <wp:posOffset>236220</wp:posOffset>
          </wp:positionV>
          <wp:extent cx="2354400" cy="720000"/>
          <wp:effectExtent l="0" t="0" r="0" b="444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6F11"/>
    <w:multiLevelType w:val="hybridMultilevel"/>
    <w:tmpl w:val="3D241760"/>
    <w:lvl w:ilvl="0" w:tplc="0405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" w15:restartNumberingAfterBreak="0">
    <w:nsid w:val="0C930927"/>
    <w:multiLevelType w:val="hybridMultilevel"/>
    <w:tmpl w:val="AECE9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D792F"/>
    <w:multiLevelType w:val="hybridMultilevel"/>
    <w:tmpl w:val="8232245A"/>
    <w:lvl w:ilvl="0" w:tplc="107E3102">
      <w:start w:val="1"/>
      <w:numFmt w:val="decimal"/>
      <w:lvlText w:val="%1."/>
      <w:lvlJc w:val="left"/>
      <w:pPr>
        <w:tabs>
          <w:tab w:val="num" w:pos="1212"/>
        </w:tabs>
        <w:ind w:left="1212" w:hanging="852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4654F"/>
    <w:multiLevelType w:val="hybridMultilevel"/>
    <w:tmpl w:val="8C8653D8"/>
    <w:lvl w:ilvl="0" w:tplc="2B76D95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E71C0"/>
    <w:multiLevelType w:val="hybridMultilevel"/>
    <w:tmpl w:val="9F3EB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158D0"/>
    <w:multiLevelType w:val="hybridMultilevel"/>
    <w:tmpl w:val="C0145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041B5"/>
    <w:multiLevelType w:val="hybridMultilevel"/>
    <w:tmpl w:val="FF38D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B4277"/>
    <w:multiLevelType w:val="hybridMultilevel"/>
    <w:tmpl w:val="1F205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15BF4"/>
    <w:multiLevelType w:val="multilevel"/>
    <w:tmpl w:val="F4F2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03A14"/>
    <w:multiLevelType w:val="hybridMultilevel"/>
    <w:tmpl w:val="CA769AE8"/>
    <w:lvl w:ilvl="0" w:tplc="0F601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B3470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E4DEF"/>
    <w:multiLevelType w:val="hybridMultilevel"/>
    <w:tmpl w:val="5C106438"/>
    <w:lvl w:ilvl="0" w:tplc="144E64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F7173"/>
    <w:multiLevelType w:val="hybridMultilevel"/>
    <w:tmpl w:val="458A2CCC"/>
    <w:lvl w:ilvl="0" w:tplc="2AEAB4F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82945"/>
    <w:multiLevelType w:val="hybridMultilevel"/>
    <w:tmpl w:val="C8C24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47DB6"/>
    <w:multiLevelType w:val="hybridMultilevel"/>
    <w:tmpl w:val="07BAA552"/>
    <w:lvl w:ilvl="0" w:tplc="D034F944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6F1B1CC1"/>
    <w:multiLevelType w:val="hybridMultilevel"/>
    <w:tmpl w:val="3850D8EE"/>
    <w:lvl w:ilvl="0" w:tplc="C5D8A6F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257A17"/>
    <w:multiLevelType w:val="hybridMultilevel"/>
    <w:tmpl w:val="FC947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52EC6"/>
    <w:multiLevelType w:val="multilevel"/>
    <w:tmpl w:val="244CD51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231"/>
        </w:tabs>
        <w:ind w:left="8231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682CEC"/>
    <w:multiLevelType w:val="hybridMultilevel"/>
    <w:tmpl w:val="075E0B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12"/>
  </w:num>
  <w:num w:numId="7">
    <w:abstractNumId w:val="2"/>
  </w:num>
  <w:num w:numId="8">
    <w:abstractNumId w:val="16"/>
  </w:num>
  <w:num w:numId="9">
    <w:abstractNumId w:val="3"/>
  </w:num>
  <w:num w:numId="10">
    <w:abstractNumId w:val="10"/>
  </w:num>
  <w:num w:numId="11">
    <w:abstractNumId w:val="13"/>
  </w:num>
  <w:num w:numId="12">
    <w:abstractNumId w:val="9"/>
  </w:num>
  <w:num w:numId="13">
    <w:abstractNumId w:val="17"/>
  </w:num>
  <w:num w:numId="14">
    <w:abstractNumId w:val="5"/>
  </w:num>
  <w:num w:numId="15">
    <w:abstractNumId w:val="1"/>
  </w:num>
  <w:num w:numId="16">
    <w:abstractNumId w:val="0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48"/>
    <w:rsid w:val="000012B9"/>
    <w:rsid w:val="000057DB"/>
    <w:rsid w:val="00006642"/>
    <w:rsid w:val="0005077A"/>
    <w:rsid w:val="000776E8"/>
    <w:rsid w:val="00082CA6"/>
    <w:rsid w:val="000A0703"/>
    <w:rsid w:val="000B1B3C"/>
    <w:rsid w:val="000C540B"/>
    <w:rsid w:val="000D4DAC"/>
    <w:rsid w:val="000D5845"/>
    <w:rsid w:val="0010648F"/>
    <w:rsid w:val="001367E1"/>
    <w:rsid w:val="00172DD8"/>
    <w:rsid w:val="001758E8"/>
    <w:rsid w:val="001946E4"/>
    <w:rsid w:val="001B3ABD"/>
    <w:rsid w:val="001D70BE"/>
    <w:rsid w:val="001E3B79"/>
    <w:rsid w:val="001F116E"/>
    <w:rsid w:val="00200D21"/>
    <w:rsid w:val="002049AB"/>
    <w:rsid w:val="002050F9"/>
    <w:rsid w:val="002102C6"/>
    <w:rsid w:val="00234132"/>
    <w:rsid w:val="0025280A"/>
    <w:rsid w:val="002A3838"/>
    <w:rsid w:val="002D3643"/>
    <w:rsid w:val="002E1697"/>
    <w:rsid w:val="002E22FC"/>
    <w:rsid w:val="002F6115"/>
    <w:rsid w:val="00311E0E"/>
    <w:rsid w:val="0037615E"/>
    <w:rsid w:val="00376203"/>
    <w:rsid w:val="0038252F"/>
    <w:rsid w:val="00383D54"/>
    <w:rsid w:val="003A2A79"/>
    <w:rsid w:val="003E45AF"/>
    <w:rsid w:val="003F1482"/>
    <w:rsid w:val="003F2A68"/>
    <w:rsid w:val="00407598"/>
    <w:rsid w:val="00413842"/>
    <w:rsid w:val="004248D9"/>
    <w:rsid w:val="0043235A"/>
    <w:rsid w:val="004B1D35"/>
    <w:rsid w:val="004B2742"/>
    <w:rsid w:val="004B2FE4"/>
    <w:rsid w:val="004C7554"/>
    <w:rsid w:val="004D0707"/>
    <w:rsid w:val="004D4E16"/>
    <w:rsid w:val="004E6BEE"/>
    <w:rsid w:val="004F0CF1"/>
    <w:rsid w:val="004F1758"/>
    <w:rsid w:val="00520625"/>
    <w:rsid w:val="00532D42"/>
    <w:rsid w:val="00553ADF"/>
    <w:rsid w:val="00570F77"/>
    <w:rsid w:val="00576ACC"/>
    <w:rsid w:val="005D43F2"/>
    <w:rsid w:val="005F7548"/>
    <w:rsid w:val="00606F9D"/>
    <w:rsid w:val="006202B9"/>
    <w:rsid w:val="0062253B"/>
    <w:rsid w:val="00623CBD"/>
    <w:rsid w:val="0064753D"/>
    <w:rsid w:val="0066576E"/>
    <w:rsid w:val="006819C8"/>
    <w:rsid w:val="00696203"/>
    <w:rsid w:val="006B6914"/>
    <w:rsid w:val="006D081E"/>
    <w:rsid w:val="006E449A"/>
    <w:rsid w:val="006E781A"/>
    <w:rsid w:val="006F5DC1"/>
    <w:rsid w:val="00700A18"/>
    <w:rsid w:val="0070290D"/>
    <w:rsid w:val="0071040A"/>
    <w:rsid w:val="0071675E"/>
    <w:rsid w:val="0073705D"/>
    <w:rsid w:val="007455F4"/>
    <w:rsid w:val="00751B5E"/>
    <w:rsid w:val="00793828"/>
    <w:rsid w:val="007B016A"/>
    <w:rsid w:val="008025F5"/>
    <w:rsid w:val="00804D7C"/>
    <w:rsid w:val="008139C8"/>
    <w:rsid w:val="00820FF9"/>
    <w:rsid w:val="00834F3D"/>
    <w:rsid w:val="00865C12"/>
    <w:rsid w:val="008722D3"/>
    <w:rsid w:val="0088040A"/>
    <w:rsid w:val="00892578"/>
    <w:rsid w:val="00894B24"/>
    <w:rsid w:val="008B1354"/>
    <w:rsid w:val="008D499F"/>
    <w:rsid w:val="008E3576"/>
    <w:rsid w:val="008F099C"/>
    <w:rsid w:val="009024AB"/>
    <w:rsid w:val="00903E35"/>
    <w:rsid w:val="00924A29"/>
    <w:rsid w:val="00945BF2"/>
    <w:rsid w:val="0096072B"/>
    <w:rsid w:val="00970800"/>
    <w:rsid w:val="00982B1C"/>
    <w:rsid w:val="00992347"/>
    <w:rsid w:val="009A7117"/>
    <w:rsid w:val="009B00D2"/>
    <w:rsid w:val="009B3A1C"/>
    <w:rsid w:val="009D7E4D"/>
    <w:rsid w:val="009E2DEF"/>
    <w:rsid w:val="00A31FA5"/>
    <w:rsid w:val="00A66A6E"/>
    <w:rsid w:val="00A71A66"/>
    <w:rsid w:val="00A8537C"/>
    <w:rsid w:val="00A90FF6"/>
    <w:rsid w:val="00AA09C1"/>
    <w:rsid w:val="00AA36FE"/>
    <w:rsid w:val="00AB5C8F"/>
    <w:rsid w:val="00AC212B"/>
    <w:rsid w:val="00AD220F"/>
    <w:rsid w:val="00AF1113"/>
    <w:rsid w:val="00B05CCB"/>
    <w:rsid w:val="00B13B1A"/>
    <w:rsid w:val="00B45822"/>
    <w:rsid w:val="00B546B0"/>
    <w:rsid w:val="00B55251"/>
    <w:rsid w:val="00B74C6D"/>
    <w:rsid w:val="00BA445E"/>
    <w:rsid w:val="00BA4FF1"/>
    <w:rsid w:val="00BC1281"/>
    <w:rsid w:val="00C06072"/>
    <w:rsid w:val="00C12E9B"/>
    <w:rsid w:val="00C14326"/>
    <w:rsid w:val="00C1674A"/>
    <w:rsid w:val="00C178D6"/>
    <w:rsid w:val="00C57FFC"/>
    <w:rsid w:val="00C63713"/>
    <w:rsid w:val="00C64EBE"/>
    <w:rsid w:val="00C742DA"/>
    <w:rsid w:val="00C8799F"/>
    <w:rsid w:val="00CA344A"/>
    <w:rsid w:val="00CA3691"/>
    <w:rsid w:val="00CD1127"/>
    <w:rsid w:val="00CD4E32"/>
    <w:rsid w:val="00D05143"/>
    <w:rsid w:val="00D1604B"/>
    <w:rsid w:val="00D254FC"/>
    <w:rsid w:val="00D42468"/>
    <w:rsid w:val="00D55E0C"/>
    <w:rsid w:val="00D63028"/>
    <w:rsid w:val="00D672DC"/>
    <w:rsid w:val="00D773A9"/>
    <w:rsid w:val="00D80F1D"/>
    <w:rsid w:val="00DA388E"/>
    <w:rsid w:val="00DB57DB"/>
    <w:rsid w:val="00DF16C2"/>
    <w:rsid w:val="00E31FDF"/>
    <w:rsid w:val="00E54E2B"/>
    <w:rsid w:val="00E63E9C"/>
    <w:rsid w:val="00E65D7C"/>
    <w:rsid w:val="00E66350"/>
    <w:rsid w:val="00E66E4B"/>
    <w:rsid w:val="00E72DD5"/>
    <w:rsid w:val="00E85E75"/>
    <w:rsid w:val="00EB33C8"/>
    <w:rsid w:val="00EB51A5"/>
    <w:rsid w:val="00ED0742"/>
    <w:rsid w:val="00EE24CF"/>
    <w:rsid w:val="00EE31CE"/>
    <w:rsid w:val="00F131CC"/>
    <w:rsid w:val="00F2179F"/>
    <w:rsid w:val="00F225CE"/>
    <w:rsid w:val="00F33B95"/>
    <w:rsid w:val="00F50C74"/>
    <w:rsid w:val="00F51B84"/>
    <w:rsid w:val="00F82CA2"/>
    <w:rsid w:val="00F941BA"/>
    <w:rsid w:val="00F9611E"/>
    <w:rsid w:val="00FB4353"/>
    <w:rsid w:val="00FB4F3E"/>
    <w:rsid w:val="00FC6A05"/>
    <w:rsid w:val="00FD03C9"/>
    <w:rsid w:val="00FD1858"/>
    <w:rsid w:val="00FD671E"/>
    <w:rsid w:val="00FE4EC7"/>
    <w:rsid w:val="00FF0FE5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09593C-E367-48A6-B3E4-2973BC8A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ACC"/>
  </w:style>
  <w:style w:type="paragraph" w:styleId="Nadpis1">
    <w:name w:val="heading 1"/>
    <w:basedOn w:val="Normln"/>
    <w:next w:val="Normln"/>
    <w:link w:val="Nadpis1Char"/>
    <w:qFormat/>
    <w:rsid w:val="004C7554"/>
    <w:pPr>
      <w:keepNext/>
      <w:numPr>
        <w:numId w:val="8"/>
      </w:numPr>
      <w:spacing w:before="240" w:after="360" w:line="36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1"/>
    <w:qFormat/>
    <w:rsid w:val="004C7554"/>
    <w:pPr>
      <w:keepNext/>
      <w:numPr>
        <w:ilvl w:val="1"/>
        <w:numId w:val="8"/>
      </w:numPr>
      <w:tabs>
        <w:tab w:val="clear" w:pos="8231"/>
        <w:tab w:val="num" w:pos="1836"/>
      </w:tabs>
      <w:spacing w:before="240" w:after="360" w:line="360" w:lineRule="auto"/>
      <w:ind w:left="1836"/>
      <w:jc w:val="both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C7554"/>
    <w:pPr>
      <w:keepNext/>
      <w:numPr>
        <w:ilvl w:val="2"/>
        <w:numId w:val="8"/>
      </w:numPr>
      <w:spacing w:before="240" w:after="24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C7554"/>
    <w:pPr>
      <w:keepNext/>
      <w:numPr>
        <w:ilvl w:val="3"/>
        <w:numId w:val="8"/>
      </w:numPr>
      <w:spacing w:before="240" w:after="24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C7554"/>
    <w:pPr>
      <w:numPr>
        <w:ilvl w:val="4"/>
        <w:numId w:val="8"/>
      </w:numPr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C7554"/>
    <w:pPr>
      <w:numPr>
        <w:ilvl w:val="5"/>
        <w:numId w:val="8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C7554"/>
    <w:pPr>
      <w:numPr>
        <w:ilvl w:val="6"/>
        <w:numId w:val="8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4C7554"/>
    <w:pPr>
      <w:numPr>
        <w:ilvl w:val="7"/>
        <w:numId w:val="8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4C7554"/>
    <w:pPr>
      <w:numPr>
        <w:ilvl w:val="8"/>
        <w:numId w:val="8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48"/>
  </w:style>
  <w:style w:type="paragraph" w:styleId="Zpat">
    <w:name w:val="footer"/>
    <w:basedOn w:val="Normln"/>
    <w:link w:val="ZpatChar"/>
    <w:uiPriority w:val="99"/>
    <w:unhideWhenUsed/>
    <w:rsid w:val="005F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48"/>
  </w:style>
  <w:style w:type="paragraph" w:styleId="Textbubliny">
    <w:name w:val="Balloon Text"/>
    <w:basedOn w:val="Normln"/>
    <w:link w:val="TextbublinyChar"/>
    <w:uiPriority w:val="99"/>
    <w:semiHidden/>
    <w:unhideWhenUsed/>
    <w:rsid w:val="005F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4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AA09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8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qFormat/>
    <w:rsid w:val="0070290D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70290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D070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0057D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057DB"/>
    <w:rPr>
      <w:rFonts w:ascii="Consolas" w:hAnsi="Consolas" w:cs="Consolas"/>
      <w:sz w:val="21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0057DB"/>
    <w:pPr>
      <w:spacing w:after="120" w:line="269" w:lineRule="auto"/>
      <w:ind w:left="720"/>
      <w:contextualSpacing/>
      <w:jc w:val="both"/>
    </w:pPr>
  </w:style>
  <w:style w:type="paragraph" w:customStyle="1" w:styleId="Odstavecseseznamem1">
    <w:name w:val="Odstavec se seznamem1"/>
    <w:basedOn w:val="Normln"/>
    <w:rsid w:val="004C75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C7554"/>
    <w:rPr>
      <w:rFonts w:ascii="Times New Roman" w:eastAsia="Times New Roman" w:hAnsi="Times New Roman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rsid w:val="004C75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4C755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C7554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C755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C755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4C75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C755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C7554"/>
    <w:rPr>
      <w:rFonts w:ascii="Arial" w:eastAsia="Times New Roman" w:hAnsi="Arial" w:cs="Arial"/>
      <w:lang w:eastAsia="cs-CZ"/>
    </w:rPr>
  </w:style>
  <w:style w:type="character" w:customStyle="1" w:styleId="Nadpis2Char1">
    <w:name w:val="Nadpis 2 Char1"/>
    <w:link w:val="Nadpis2"/>
    <w:rsid w:val="004C7554"/>
    <w:rPr>
      <w:rFonts w:ascii="Times New Roman" w:eastAsia="Times New Roman" w:hAnsi="Times New Roman" w:cs="Arial"/>
      <w:b/>
      <w:bCs/>
      <w:i/>
      <w:i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3F2A6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F2A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F2A6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F2A68"/>
  </w:style>
  <w:style w:type="paragraph" w:styleId="FormtovanvHTML">
    <w:name w:val="HTML Preformatted"/>
    <w:basedOn w:val="Normln"/>
    <w:link w:val="FormtovanvHTMLChar"/>
    <w:uiPriority w:val="99"/>
    <w:unhideWhenUsed/>
    <w:rsid w:val="00813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139C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72DD8"/>
  </w:style>
  <w:style w:type="paragraph" w:styleId="Textkomente">
    <w:name w:val="annotation text"/>
    <w:basedOn w:val="Normln"/>
    <w:link w:val="TextkomenteChar"/>
    <w:uiPriority w:val="99"/>
    <w:unhideWhenUsed/>
    <w:rsid w:val="00172DD8"/>
    <w:pPr>
      <w:spacing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2DD8"/>
    <w:rPr>
      <w:rFonts w:eastAsiaTheme="minorEastAsia"/>
      <w:sz w:val="20"/>
      <w:szCs w:val="20"/>
      <w:lang w:eastAsia="cs-CZ"/>
    </w:rPr>
  </w:style>
  <w:style w:type="paragraph" w:customStyle="1" w:styleId="Odskok">
    <w:name w:val="Odskok"/>
    <w:basedOn w:val="Normln"/>
    <w:link w:val="OdskokChar"/>
    <w:qFormat/>
    <w:rsid w:val="00172DD8"/>
    <w:pPr>
      <w:spacing w:after="120"/>
      <w:ind w:left="284"/>
      <w:jc w:val="both"/>
    </w:pPr>
    <w:rPr>
      <w:rFonts w:ascii="Calibri" w:eastAsia="Calibri" w:hAnsi="Calibri" w:cs="Times New Roman"/>
      <w:lang w:eastAsia="cs-CZ"/>
    </w:rPr>
  </w:style>
  <w:style w:type="character" w:customStyle="1" w:styleId="OdskokChar">
    <w:name w:val="Odskok Char"/>
    <w:basedOn w:val="Standardnpsmoodstavce"/>
    <w:link w:val="Odskok"/>
    <w:rsid w:val="00172DD8"/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fv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00CE-8120-466D-A67A-EF4708C0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943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Foom</dc:creator>
  <cp:lastModifiedBy>Štípek Vladimír</cp:lastModifiedBy>
  <cp:revision>4</cp:revision>
  <cp:lastPrinted>2017-06-13T14:02:00Z</cp:lastPrinted>
  <dcterms:created xsi:type="dcterms:W3CDTF">2017-06-15T12:47:00Z</dcterms:created>
  <dcterms:modified xsi:type="dcterms:W3CDTF">2017-06-15T13:33:00Z</dcterms:modified>
</cp:coreProperties>
</file>