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710BD6" w:rsidRDefault="00352174" w:rsidP="00710BD6">
      <w:pPr>
        <w:spacing w:after="80"/>
        <w:jc w:val="center"/>
        <w:rPr>
          <w:b/>
        </w:rPr>
      </w:pPr>
      <w:r>
        <w:rPr>
          <w:b/>
        </w:rPr>
        <w:t>Stanovisko</w:t>
      </w:r>
      <w:r w:rsidR="00193AEC">
        <w:rPr>
          <w:b/>
        </w:rPr>
        <w:t xml:space="preserve"> </w:t>
      </w:r>
      <w:r w:rsidR="00710BD6" w:rsidRPr="00710BD6">
        <w:rPr>
          <w:b/>
        </w:rPr>
        <w:t>k návrhu S</w:t>
      </w:r>
      <w:r>
        <w:rPr>
          <w:b/>
        </w:rPr>
        <w:t>tátního rozpočtu</w:t>
      </w:r>
      <w:r w:rsidR="00710BD6" w:rsidRPr="00710BD6">
        <w:rPr>
          <w:b/>
        </w:rPr>
        <w:t xml:space="preserve"> pro rok 2016</w:t>
      </w:r>
    </w:p>
    <w:p w:rsidR="00710BD6" w:rsidRDefault="00710BD6" w:rsidP="00710BD6">
      <w:pPr>
        <w:spacing w:after="80"/>
        <w:jc w:val="center"/>
        <w:rPr>
          <w:b/>
        </w:rPr>
      </w:pPr>
      <w:r w:rsidRPr="00710BD6">
        <w:rPr>
          <w:b/>
        </w:rPr>
        <w:t xml:space="preserve">Podklad pro jednání RHSD </w:t>
      </w:r>
      <w:proofErr w:type="gramStart"/>
      <w:r w:rsidRPr="00710BD6">
        <w:rPr>
          <w:b/>
        </w:rPr>
        <w:t>17.9.2015</w:t>
      </w:r>
      <w:proofErr w:type="gramEnd"/>
    </w:p>
    <w:p w:rsidR="00710BD6" w:rsidRDefault="00710BD6" w:rsidP="00710BD6">
      <w:pPr>
        <w:spacing w:after="80"/>
        <w:jc w:val="center"/>
        <w:rPr>
          <w:b/>
        </w:rPr>
      </w:pPr>
    </w:p>
    <w:p w:rsidR="00710BD6" w:rsidRPr="00710BD6" w:rsidRDefault="00352174" w:rsidP="00710BD6">
      <w:pPr>
        <w:pStyle w:val="Odstavecseseznamem"/>
        <w:numPr>
          <w:ilvl w:val="0"/>
          <w:numId w:val="6"/>
        </w:numPr>
        <w:spacing w:after="80"/>
        <w:rPr>
          <w:b/>
        </w:rPr>
      </w:pPr>
      <w:r>
        <w:rPr>
          <w:b/>
        </w:rPr>
        <w:t>K</w:t>
      </w:r>
      <w:r w:rsidR="00710BD6" w:rsidRPr="00710BD6">
        <w:rPr>
          <w:b/>
        </w:rPr>
        <w:t> předložené formě</w:t>
      </w:r>
    </w:p>
    <w:p w:rsidR="00EE1013" w:rsidRDefault="00D15154">
      <w:pPr>
        <w:pStyle w:val="Odstavecseseznamem"/>
        <w:numPr>
          <w:ilvl w:val="0"/>
          <w:numId w:val="7"/>
        </w:numPr>
        <w:spacing w:after="60" w:line="300" w:lineRule="exact"/>
      </w:pPr>
      <w:r w:rsidRPr="00193AEC">
        <w:t>Na základě usnesení pléna RHSD jsme požádali o předložení jednoduchého a srozumitelného přehledu</w:t>
      </w:r>
      <w:r w:rsidR="00923EEC" w:rsidRPr="00193AEC">
        <w:t xml:space="preserve"> ve formě tabulky</w:t>
      </w:r>
      <w:r w:rsidR="00710BD6" w:rsidRPr="00193AEC">
        <w:t xml:space="preserve">, </w:t>
      </w:r>
      <w:r w:rsidR="006E55EA" w:rsidRPr="00193AEC">
        <w:t>který by umožnil vyhodnocení</w:t>
      </w:r>
      <w:r w:rsidR="00710BD6" w:rsidRPr="00193AEC">
        <w:t xml:space="preserve"> naplňování priorit hospodářské politiky ve vazbě na státní rozpočet</w:t>
      </w:r>
      <w:r w:rsidR="00710BD6" w:rsidRPr="00F47666">
        <w:t xml:space="preserve"> (doprava, digitální ekonomika, investice</w:t>
      </w:r>
      <w:r w:rsidR="00193AEC">
        <w:t xml:space="preserve"> </w:t>
      </w:r>
      <w:r w:rsidR="00923EEC">
        <w:t>atd.</w:t>
      </w:r>
      <w:r w:rsidR="00710BD6" w:rsidRPr="00F47666">
        <w:t>)</w:t>
      </w:r>
      <w:r w:rsidR="00250D89">
        <w:t>.</w:t>
      </w:r>
      <w:r w:rsidR="00710BD6" w:rsidRPr="00F47666">
        <w:t xml:space="preserve"> </w:t>
      </w:r>
      <w:r w:rsidR="00923EEC">
        <w:t>Návrh rozpočtu jsme přesto obdrželi v obvyklé podobě.</w:t>
      </w:r>
      <w:r w:rsidR="00193AEC">
        <w:t xml:space="preserve"> </w:t>
      </w:r>
      <w:r w:rsidR="00990A11">
        <w:t>Z návrhu rozpočtu není patrné, jak budou finančně pokryta některá horizontální témata. To lze například demonstrovat na tématu digitální agendy, která nemá jednotné</w:t>
      </w:r>
      <w:r w:rsidR="009A158B" w:rsidRPr="009A158B">
        <w:t xml:space="preserve"> řízení v rámci </w:t>
      </w:r>
      <w:proofErr w:type="gramStart"/>
      <w:r w:rsidR="009A158B" w:rsidRPr="009A158B">
        <w:t>vlády a jednotlivé</w:t>
      </w:r>
      <w:proofErr w:type="gramEnd"/>
      <w:r w:rsidR="009A158B" w:rsidRPr="009A158B">
        <w:t xml:space="preserve"> její oblasti jsou </w:t>
      </w:r>
      <w:r w:rsidR="00631F1E">
        <w:t>rozděleny</w:t>
      </w:r>
      <w:r w:rsidR="009A158B" w:rsidRPr="009A158B">
        <w:t xml:space="preserve"> mezi resorty</w:t>
      </w:r>
      <w:r w:rsidR="009A158B">
        <w:t>. K</w:t>
      </w:r>
      <w:r w:rsidR="009A158B" w:rsidRPr="009A158B">
        <w:t xml:space="preserve"> úspěšnému zvládnutí agendy je přitom bezpodmínečně třeba, aby přístup vlády byl koordinovaný a tomu by mělo odpovídat i financování jejích aktivit ze státního rozpočtu</w:t>
      </w:r>
      <w:r w:rsidR="00193AEC">
        <w:t xml:space="preserve">, </w:t>
      </w:r>
      <w:r w:rsidR="00631F1E">
        <w:t>včetně jeho sledování</w:t>
      </w:r>
      <w:r w:rsidR="009A158B" w:rsidRPr="009A158B">
        <w:t>.</w:t>
      </w:r>
      <w:r w:rsidR="00193AEC">
        <w:t xml:space="preserve"> </w:t>
      </w:r>
      <w:r w:rsidR="00631F1E">
        <w:t>Postrádáme tedy</w:t>
      </w:r>
      <w:r w:rsidR="009A158B" w:rsidRPr="009A158B">
        <w:t xml:space="preserve"> informaci, ve kterých kapitolách rozpočtu a jakým způsobem jsou finančně pokryta témata uvedené v námi zaslané</w:t>
      </w:r>
      <w:r w:rsidR="000B160E">
        <w:t>m návrhu</w:t>
      </w:r>
      <w:r w:rsidR="009A158B" w:rsidRPr="009A158B">
        <w:t xml:space="preserve"> přehledové tabul</w:t>
      </w:r>
      <w:r w:rsidR="000B160E">
        <w:t>ky</w:t>
      </w:r>
      <w:r w:rsidR="009A158B" w:rsidRPr="009A158B">
        <w:t>.</w:t>
      </w:r>
      <w:r w:rsidR="00193AEC">
        <w:t xml:space="preserve"> </w:t>
      </w:r>
      <w:r w:rsidR="000B160E">
        <w:t xml:space="preserve">Vypovídací schopnost přehledu měla být podpořena </w:t>
      </w:r>
      <w:r w:rsidR="002823BE">
        <w:t xml:space="preserve">i </w:t>
      </w:r>
      <w:r w:rsidR="000B160E">
        <w:t>uvedením dat za období 2013 až</w:t>
      </w:r>
      <w:r w:rsidR="00193AEC">
        <w:t xml:space="preserve"> </w:t>
      </w:r>
      <w:r w:rsidR="000B160E">
        <w:t>2017</w:t>
      </w:r>
      <w:r w:rsidR="00193AEC">
        <w:t>.</w:t>
      </w:r>
    </w:p>
    <w:p w:rsidR="00710BD6" w:rsidRPr="00F47666" w:rsidRDefault="00710BD6" w:rsidP="00F47666">
      <w:pPr>
        <w:pStyle w:val="Odstavecseseznamem"/>
        <w:numPr>
          <w:ilvl w:val="0"/>
          <w:numId w:val="7"/>
        </w:numPr>
        <w:spacing w:after="60" w:line="300" w:lineRule="exact"/>
        <w:ind w:left="714" w:hanging="357"/>
      </w:pPr>
      <w:r w:rsidRPr="00F47666">
        <w:t xml:space="preserve">Propočty (odhady) některých veličin vnášejí otazníky při srovnání s návrhem předloženým před měsícem (rozbor a vysvětlení některých vyčíslení ne vždy důvěryhodně vysvětluje změnu hodnoty oproti hodnotě předložené v návrhu projednávaném na poslední tripartitě) </w:t>
      </w:r>
    </w:p>
    <w:p w:rsidR="003E752E" w:rsidRPr="00F47666" w:rsidRDefault="003E752E" w:rsidP="00F47666">
      <w:pPr>
        <w:pStyle w:val="Odstavecseseznamem"/>
        <w:numPr>
          <w:ilvl w:val="0"/>
          <w:numId w:val="5"/>
        </w:numPr>
        <w:spacing w:after="60" w:line="300" w:lineRule="exact"/>
        <w:ind w:left="714" w:hanging="357"/>
      </w:pPr>
      <w:r w:rsidRPr="00F47666">
        <w:t xml:space="preserve">Charakter </w:t>
      </w:r>
      <w:r w:rsidR="003E6A3A">
        <w:t>státního rozpočtu</w:t>
      </w:r>
      <w:r w:rsidRPr="00F47666">
        <w:t xml:space="preserve"> jako přehledu výdajů a příjmů samozřejmě neumožňuje plně hodnotit efektivnost hospodaření s veřejnými prostředky a správnost dílčích politik/změn. Problém často </w:t>
      </w:r>
      <w:r w:rsidR="00EE35BC">
        <w:t>není</w:t>
      </w:r>
      <w:r w:rsidR="003E6A3A">
        <w:t xml:space="preserve"> </w:t>
      </w:r>
      <w:r w:rsidRPr="00F47666">
        <w:t xml:space="preserve">pouze ve výši prostředků, ale v řadě systémových nastavení a podmínek, které jsou mimo státní rozpočet </w:t>
      </w:r>
      <w:r w:rsidR="003E6A3A">
        <w:t>(</w:t>
      </w:r>
      <w:r w:rsidRPr="00F47666">
        <w:t xml:space="preserve">rozpočet je </w:t>
      </w:r>
      <w:r w:rsidR="003E6A3A" w:rsidRPr="00F47666">
        <w:t xml:space="preserve">již jen </w:t>
      </w:r>
      <w:r w:rsidRPr="00F47666">
        <w:t>vyčíslením daných opatření</w:t>
      </w:r>
      <w:r w:rsidR="003E6A3A">
        <w:t>)</w:t>
      </w:r>
      <w:r w:rsidRPr="00F47666">
        <w:t>. Příkladem může být výše prostředků na</w:t>
      </w:r>
      <w:r w:rsidR="00EE35BC">
        <w:t xml:space="preserve"> výstavbu dopravní infrastruktur</w:t>
      </w:r>
      <w:r w:rsidR="003E6A3A">
        <w:t>y,</w:t>
      </w:r>
      <w:r w:rsidR="00EE35BC">
        <w:t xml:space="preserve"> </w:t>
      </w:r>
      <w:r w:rsidR="003E6A3A">
        <w:t>která je zásadně</w:t>
      </w:r>
      <w:r w:rsidR="00EE35BC">
        <w:t xml:space="preserve"> ovlivněn</w:t>
      </w:r>
      <w:r w:rsidR="00250D89">
        <w:t>a</w:t>
      </w:r>
      <w:r w:rsidR="00EE35BC">
        <w:t xml:space="preserve"> úrovní legislativy a připraveností staveb</w:t>
      </w:r>
      <w:r w:rsidR="003E6A3A">
        <w:t xml:space="preserve"> (například problematika </w:t>
      </w:r>
      <w:r w:rsidRPr="00F47666">
        <w:t>jednotného povolovacího ř</w:t>
      </w:r>
      <w:r w:rsidR="003E6A3A">
        <w:t>ízení, veřejných zakázek apod.)</w:t>
      </w:r>
      <w:r w:rsidR="00250D89">
        <w:t>.</w:t>
      </w:r>
      <w:r w:rsidRPr="00F47666">
        <w:t xml:space="preserve"> Další otázka souvisí s rozložením prostředků v rámci </w:t>
      </w:r>
      <w:proofErr w:type="spellStart"/>
      <w:r w:rsidRPr="00F47666">
        <w:t>prioritizace</w:t>
      </w:r>
      <w:proofErr w:type="spellEnd"/>
      <w:r w:rsidR="00EF24DB">
        <w:t>, kde</w:t>
      </w:r>
      <w:r w:rsidR="00EF24DB" w:rsidRPr="00F47666">
        <w:t xml:space="preserve"> </w:t>
      </w:r>
      <w:r w:rsidR="00EF24DB">
        <w:t>p</w:t>
      </w:r>
      <w:r w:rsidRPr="00F47666">
        <w:t xml:space="preserve">říkladem </w:t>
      </w:r>
      <w:r w:rsidR="00EF24DB">
        <w:t>je relace mezi aplikovaným a základním výzkumem</w:t>
      </w:r>
      <w:r w:rsidRPr="00F47666">
        <w:t xml:space="preserve">. </w:t>
      </w:r>
    </w:p>
    <w:p w:rsidR="00F47666" w:rsidRPr="00F47666" w:rsidRDefault="00EF24DB" w:rsidP="00F47666">
      <w:pPr>
        <w:numPr>
          <w:ilvl w:val="0"/>
          <w:numId w:val="5"/>
        </w:numPr>
        <w:spacing w:after="60" w:line="300" w:lineRule="exact"/>
        <w:ind w:left="714" w:hanging="357"/>
        <w:contextualSpacing/>
      </w:pPr>
      <w:r>
        <w:rPr>
          <w:rFonts w:eastAsia="Calibri"/>
        </w:rPr>
        <w:t>Doporučujeme</w:t>
      </w:r>
      <w:r w:rsidR="003E6A3A">
        <w:rPr>
          <w:rFonts w:eastAsia="Calibri"/>
        </w:rPr>
        <w:t>,</w:t>
      </w:r>
      <w:r w:rsidR="00F47666" w:rsidRPr="00F47666">
        <w:rPr>
          <w:rFonts w:eastAsia="Calibri"/>
        </w:rPr>
        <w:t xml:space="preserve"> </w:t>
      </w:r>
      <w:r w:rsidR="003E6A3A" w:rsidRPr="00F47666">
        <w:rPr>
          <w:rFonts w:eastAsia="Calibri"/>
        </w:rPr>
        <w:t>stejně jako v minulých letech</w:t>
      </w:r>
      <w:r w:rsidR="003E6A3A">
        <w:rPr>
          <w:rFonts w:eastAsia="Calibri"/>
        </w:rPr>
        <w:t>,</w:t>
      </w:r>
      <w:r w:rsidR="003E6A3A" w:rsidRPr="00F47666">
        <w:rPr>
          <w:rFonts w:eastAsia="Calibri"/>
        </w:rPr>
        <w:t xml:space="preserve"> </w:t>
      </w:r>
      <w:r>
        <w:rPr>
          <w:rFonts w:eastAsia="Calibri"/>
        </w:rPr>
        <w:t xml:space="preserve">u některých tabulkových příloh návrhu </w:t>
      </w:r>
      <w:r w:rsidR="00F47666" w:rsidRPr="00F47666">
        <w:rPr>
          <w:rFonts w:eastAsia="Calibri"/>
        </w:rPr>
        <w:t xml:space="preserve">doplnění </w:t>
      </w:r>
      <w:r w:rsidR="00F47666" w:rsidRPr="00F47666">
        <w:t xml:space="preserve">o sloupce „rozpočet 2015 – schválený“ a „rozpočet 2015 </w:t>
      </w:r>
      <w:r>
        <w:t xml:space="preserve">- </w:t>
      </w:r>
      <w:r w:rsidR="00F47666" w:rsidRPr="00F47666">
        <w:t xml:space="preserve">očekávaná skutečnost“, tak aby bylo možné </w:t>
      </w:r>
      <w:r w:rsidR="00250D89">
        <w:t>činit</w:t>
      </w:r>
      <w:r w:rsidR="00F47666" w:rsidRPr="00F47666">
        <w:t xml:space="preserve"> srovnání snadněji přímo v rámci dan</w:t>
      </w:r>
      <w:r w:rsidR="00250D89">
        <w:t>ých tabulek</w:t>
      </w:r>
      <w:r w:rsidR="00F47666" w:rsidRPr="00F47666">
        <w:t>.</w:t>
      </w:r>
    </w:p>
    <w:p w:rsidR="00F47666" w:rsidRPr="003E752E" w:rsidRDefault="00F47666" w:rsidP="00825CA2">
      <w:pPr>
        <w:pStyle w:val="Odstavecseseznamem"/>
      </w:pPr>
    </w:p>
    <w:p w:rsidR="00710BD6" w:rsidRPr="00710BD6" w:rsidRDefault="00710BD6" w:rsidP="003E752E">
      <w:pPr>
        <w:pStyle w:val="Odstavecseseznamem"/>
        <w:numPr>
          <w:ilvl w:val="0"/>
          <w:numId w:val="6"/>
        </w:numPr>
        <w:spacing w:after="80"/>
        <w:rPr>
          <w:b/>
        </w:rPr>
      </w:pPr>
      <w:r>
        <w:rPr>
          <w:b/>
        </w:rPr>
        <w:t>K</w:t>
      </w:r>
      <w:r w:rsidR="00EF24DB">
        <w:rPr>
          <w:b/>
        </w:rPr>
        <w:t> </w:t>
      </w:r>
      <w:r>
        <w:rPr>
          <w:b/>
        </w:rPr>
        <w:t>předpokladům</w:t>
      </w:r>
      <w:r w:rsidR="00EF24DB">
        <w:rPr>
          <w:b/>
        </w:rPr>
        <w:t xml:space="preserve"> návrhu</w:t>
      </w:r>
    </w:p>
    <w:p w:rsidR="00710BD6" w:rsidRDefault="00710BD6" w:rsidP="00F47666">
      <w:pPr>
        <w:pStyle w:val="Odstavecseseznamem"/>
        <w:numPr>
          <w:ilvl w:val="0"/>
          <w:numId w:val="7"/>
        </w:numPr>
        <w:spacing w:after="60" w:line="300" w:lineRule="exact"/>
        <w:ind w:left="714" w:hanging="357"/>
      </w:pPr>
      <w:r>
        <w:t>Významnou položku vytváří financování (spolufinancování) z prostředků EU. Svaz bude požadovat nadále vyhodnocení aktuálního stavu a rizika pro čerpání, tak aby byla včas minimalizována. Již nyní došlo ke značnému odkladu</w:t>
      </w:r>
      <w:r w:rsidR="00EF24DB">
        <w:t xml:space="preserve"> čerpání v rámci nového programovacího období</w:t>
      </w:r>
      <w:r>
        <w:t>.</w:t>
      </w:r>
    </w:p>
    <w:p w:rsidR="00C3431F" w:rsidRPr="00C3431F" w:rsidRDefault="00C3431F" w:rsidP="00C3431F">
      <w:pPr>
        <w:pStyle w:val="Odstavecseseznamem"/>
        <w:numPr>
          <w:ilvl w:val="0"/>
          <w:numId w:val="7"/>
        </w:numPr>
        <w:spacing w:after="60" w:line="300" w:lineRule="exact"/>
        <w:ind w:left="714" w:hanging="357"/>
      </w:pPr>
      <w:r w:rsidRPr="00C3431F">
        <w:t xml:space="preserve">Návrh SR je zpracováván v období „stabilnějším“ oproti předchozím rokům, výchozí stav je méně kritický a fiskální politika není v současnosti hlavním tahounem či bariérou ekonomického růstu </w:t>
      </w:r>
      <w:r>
        <w:t>(v kontextu vývoje posledních let není výrazný tlak na tvrdou fiskální restrikci, ekonomika je ve fázi oživení, ekonomické výsledky letošního roku jsou převážně pozitivní, na finančních trzích jsou nízké úrokové sazby)</w:t>
      </w:r>
    </w:p>
    <w:p w:rsidR="00C32AC2" w:rsidRDefault="00C32AC2" w:rsidP="00C32AC2">
      <w:pPr>
        <w:pStyle w:val="Odstavecseseznamem"/>
        <w:numPr>
          <w:ilvl w:val="0"/>
          <w:numId w:val="7"/>
        </w:numPr>
        <w:spacing w:after="60" w:line="300" w:lineRule="exact"/>
        <w:ind w:left="714" w:hanging="357"/>
      </w:pPr>
      <w:r w:rsidRPr="00F47666">
        <w:t>Kladně hodnotíme udržení výše deficitu ve výši 70 mld. Kč,</w:t>
      </w:r>
      <w:r>
        <w:t xml:space="preserve"> ale</w:t>
      </w:r>
      <w:r w:rsidR="003E6A3A">
        <w:t xml:space="preserve"> </w:t>
      </w:r>
      <w:r>
        <w:t>p</w:t>
      </w:r>
      <w:r w:rsidRPr="00F47666">
        <w:t xml:space="preserve">ři pohledu na ekonomický vývoj prostor pro snížení deficitu stále zůstává. </w:t>
      </w:r>
      <w:r>
        <w:t xml:space="preserve">Nevidíme </w:t>
      </w:r>
      <w:r w:rsidRPr="00F47666">
        <w:t>syst</w:t>
      </w:r>
      <w:r>
        <w:t>émové</w:t>
      </w:r>
      <w:r w:rsidRPr="00F47666">
        <w:t xml:space="preserve"> změny u klíčových položek</w:t>
      </w:r>
      <w:r>
        <w:t xml:space="preserve">. Vláda </w:t>
      </w:r>
      <w:r w:rsidRPr="00F47666">
        <w:t xml:space="preserve">zatím </w:t>
      </w:r>
      <w:r>
        <w:t>nepředložila konkrétní</w:t>
      </w:r>
      <w:r w:rsidRPr="00F47666">
        <w:t xml:space="preserve"> plán </w:t>
      </w:r>
      <w:r>
        <w:t xml:space="preserve">opatření </w:t>
      </w:r>
      <w:r w:rsidRPr="00F47666">
        <w:t xml:space="preserve">a </w:t>
      </w:r>
      <w:r>
        <w:t xml:space="preserve">jejich </w:t>
      </w:r>
      <w:r w:rsidRPr="00F47666">
        <w:t>vyčíslení přispívající k dlouhodobé stabilizaci veřejných financí (</w:t>
      </w:r>
      <w:r w:rsidR="00683C63">
        <w:t>Kladně hodnotíme, že</w:t>
      </w:r>
      <w:r w:rsidRPr="00F47666">
        <w:t xml:space="preserve"> jsou uvedeny dílčí body jako nástroje boje proti daňovým únikům, ale to nepostihuje kompletní systémové změny dlouhodobé stabilizace – například řešení vývoje řady mandatorních výdajů).</w:t>
      </w:r>
    </w:p>
    <w:p w:rsidR="00A84912" w:rsidRPr="00F47666" w:rsidRDefault="00A84912" w:rsidP="00F47666">
      <w:pPr>
        <w:pStyle w:val="Odstavecseseznamem"/>
        <w:numPr>
          <w:ilvl w:val="0"/>
          <w:numId w:val="7"/>
        </w:numPr>
        <w:spacing w:after="60" w:line="300" w:lineRule="exact"/>
        <w:ind w:left="714" w:hanging="357"/>
      </w:pPr>
      <w:r w:rsidRPr="00F47666">
        <w:t>Makroekonomická predikce neobsahuje s ohledem na současný vývoj a očekávání významná rizika. Predikce reálného HDP pro rok 2016 zůstává kolem hodnoty 2,5 %</w:t>
      </w:r>
      <w:r w:rsidR="00710BD6" w:rsidRPr="00F47666">
        <w:t>. Tuto hodnotu nepovažujeme za „nadsazenou“,</w:t>
      </w:r>
      <w:r w:rsidRPr="00F47666">
        <w:t xml:space="preserve"> kde predikce, včetně naší</w:t>
      </w:r>
      <w:r w:rsidR="00640D2C">
        <w:t xml:space="preserve">, </w:t>
      </w:r>
      <w:r w:rsidRPr="00F47666">
        <w:t>se pohybují</w:t>
      </w:r>
      <w:r w:rsidR="00710BD6" w:rsidRPr="00F47666">
        <w:t xml:space="preserve"> </w:t>
      </w:r>
      <w:r w:rsidRPr="00F47666">
        <w:t>kolem 2,4-2,8 %</w:t>
      </w:r>
      <w:r w:rsidR="00710BD6" w:rsidRPr="00F47666">
        <w:t xml:space="preserve"> (stále častěji v mírně vyšších hodnotách)</w:t>
      </w:r>
      <w:r w:rsidRPr="00F47666">
        <w:t>. Dosavadní výsledky letošního roku naznačují, že hodnota za celý rok</w:t>
      </w:r>
      <w:r w:rsidR="00710BD6" w:rsidRPr="00F47666">
        <w:t xml:space="preserve"> 2015</w:t>
      </w:r>
      <w:r w:rsidRPr="00F47666">
        <w:t xml:space="preserve"> by se </w:t>
      </w:r>
      <w:r w:rsidR="00640D2C" w:rsidRPr="00F47666">
        <w:t xml:space="preserve">mohla blížit </w:t>
      </w:r>
      <w:r w:rsidRPr="00F47666">
        <w:t xml:space="preserve">hodnotě 4 %. </w:t>
      </w:r>
      <w:r w:rsidR="00640D2C">
        <w:t>R</w:t>
      </w:r>
      <w:r w:rsidRPr="00F47666">
        <w:t>ozdíly oproti naš</w:t>
      </w:r>
      <w:r w:rsidR="00F705B7" w:rsidRPr="00F47666">
        <w:t>i</w:t>
      </w:r>
      <w:r w:rsidRPr="00F47666">
        <w:t>m očekáváním lze nalézt například v predikci výše kurzu, který dle nás je a bude mírně silnější</w:t>
      </w:r>
      <w:r w:rsidR="003E752E" w:rsidRPr="00F47666">
        <w:t>,</w:t>
      </w:r>
      <w:r w:rsidRPr="00F47666">
        <w:t xml:space="preserve"> či v příspěvku zahraničního obchodu. </w:t>
      </w:r>
    </w:p>
    <w:p w:rsidR="00FA3CD6" w:rsidRPr="00F47666" w:rsidRDefault="00A84912" w:rsidP="00F47666">
      <w:pPr>
        <w:pStyle w:val="Odstavecseseznamem"/>
        <w:numPr>
          <w:ilvl w:val="0"/>
          <w:numId w:val="7"/>
        </w:numPr>
        <w:spacing w:after="60" w:line="300" w:lineRule="exact"/>
        <w:ind w:left="714" w:hanging="357"/>
      </w:pPr>
      <w:r w:rsidRPr="00F47666">
        <w:t xml:space="preserve">MF téměř nezměnilo predikci nominálního HDP, které je jedním ze základních faktorů pro odhad příjmových veličin. Inflační tlaky jsou sice nižší oproti původním očekáváním, nicméně v souvislosti s růstem ekonomiky pozorujeme i </w:t>
      </w:r>
      <w:r w:rsidR="003E752E" w:rsidRPr="00F47666">
        <w:t>meziroční ná</w:t>
      </w:r>
      <w:r w:rsidRPr="00F47666">
        <w:t>růst zisků či maloobchodních prodejů</w:t>
      </w:r>
      <w:r w:rsidR="003E752E" w:rsidRPr="00F47666">
        <w:t>,</w:t>
      </w:r>
      <w:r w:rsidRPr="00F47666">
        <w:t xml:space="preserve"> a to i v nominálním vyjádření.</w:t>
      </w:r>
      <w:r w:rsidR="003E752E" w:rsidRPr="00F47666">
        <w:t xml:space="preserve"> To umožňuje odhadovat navýšení daňových příjmů oproti letošnímu roku (například DPH, DPPO apod.), samozřejmě výsledné číslo ovlivní i další faktory a změny (například změna výše slevy na dítě, zvýšení spotřební daně, kontrolní hlášení apod.)</w:t>
      </w:r>
      <w:r w:rsidR="007846C9">
        <w:t>.</w:t>
      </w:r>
      <w:r w:rsidR="00FA3CD6" w:rsidRPr="00F47666">
        <w:t xml:space="preserve"> Určité otazníky jsou nad propočty navýšení příjmů při srovnání současné navrhované výše a výše předložené před měsícem. Například detailní popis u DPH v porovnání s vysvětlením před měsícem příliš nevysvětluje změnu odhadu inkasa</w:t>
      </w:r>
      <w:r w:rsidR="003E752E" w:rsidRPr="00F47666">
        <w:t xml:space="preserve">. Stejně tak otazník </w:t>
      </w:r>
      <w:r w:rsidR="00FA3CD6" w:rsidRPr="00F47666">
        <w:t xml:space="preserve">nad kalkulací odhadů z nově zavedených nástrojů vnáší změna </w:t>
      </w:r>
      <w:r w:rsidR="007846C9">
        <w:t xml:space="preserve">výše </w:t>
      </w:r>
      <w:r w:rsidR="00FA3CD6" w:rsidRPr="00F47666">
        <w:t>odhadů</w:t>
      </w:r>
      <w:r w:rsidR="003E752E" w:rsidRPr="00F47666">
        <w:t xml:space="preserve"> (u kontrolního hlášení)</w:t>
      </w:r>
      <w:r w:rsidR="00FA3CD6" w:rsidRPr="00F47666">
        <w:t xml:space="preserve"> či upravení u evidence tržeb pouze z 2,5 na 2 mld. Kč vzhledem k odkladu.</w:t>
      </w:r>
    </w:p>
    <w:p w:rsidR="00825CA2" w:rsidRDefault="00825CA2" w:rsidP="00825CA2">
      <w:pPr>
        <w:spacing w:after="60" w:line="300" w:lineRule="exact"/>
      </w:pPr>
    </w:p>
    <w:p w:rsidR="00825CA2" w:rsidRPr="00710BD6" w:rsidRDefault="00683C63" w:rsidP="00825CA2">
      <w:pPr>
        <w:pStyle w:val="Odstavecseseznamem"/>
        <w:numPr>
          <w:ilvl w:val="0"/>
          <w:numId w:val="6"/>
        </w:numPr>
        <w:spacing w:after="80"/>
        <w:rPr>
          <w:b/>
        </w:rPr>
      </w:pPr>
      <w:r>
        <w:rPr>
          <w:b/>
        </w:rPr>
        <w:t>K efektivitě</w:t>
      </w:r>
      <w:r w:rsidR="00825CA2">
        <w:rPr>
          <w:b/>
        </w:rPr>
        <w:t xml:space="preserve"> veřejných rozpočtů</w:t>
      </w:r>
    </w:p>
    <w:p w:rsidR="00A84912" w:rsidRPr="00F47666" w:rsidRDefault="00F06398" w:rsidP="00F47666">
      <w:pPr>
        <w:pStyle w:val="Odstavecseseznamem"/>
        <w:numPr>
          <w:ilvl w:val="0"/>
          <w:numId w:val="7"/>
        </w:numPr>
        <w:spacing w:after="60" w:line="300" w:lineRule="exact"/>
        <w:ind w:left="714" w:hanging="357"/>
      </w:pPr>
      <w:r w:rsidRPr="00F47666">
        <w:t>I přes deklarac</w:t>
      </w:r>
      <w:r w:rsidR="007846C9">
        <w:t>i</w:t>
      </w:r>
      <w:r w:rsidRPr="00F47666">
        <w:t xml:space="preserve"> </w:t>
      </w:r>
      <w:r w:rsidR="00FA3CD6" w:rsidRPr="00F47666">
        <w:t xml:space="preserve">úsporných opatření a </w:t>
      </w:r>
      <w:r w:rsidR="007846C9">
        <w:t xml:space="preserve">dílčích </w:t>
      </w:r>
      <w:r w:rsidR="00FA3CD6" w:rsidRPr="00F47666">
        <w:t>příklad</w:t>
      </w:r>
      <w:r w:rsidR="007846C9">
        <w:t>ů úspor</w:t>
      </w:r>
      <w:r w:rsidR="00FA3CD6" w:rsidRPr="00F47666">
        <w:t xml:space="preserve"> některých ministerstev v řádech milionů, celkově státní rozpoč</w:t>
      </w:r>
      <w:r w:rsidRPr="00F47666">
        <w:t>et</w:t>
      </w:r>
      <w:r w:rsidR="00FA3CD6" w:rsidRPr="00F47666">
        <w:t xml:space="preserve"> výdaje na nákup služeb opět navyšuje. Reálné navýšení je však mnohem vyšší, neboť skutečné výdaje v posledních dvou letech a dle dosavadních dat za </w:t>
      </w:r>
      <w:r w:rsidR="003520FB" w:rsidRPr="00F47666">
        <w:t xml:space="preserve">skutečné </w:t>
      </w:r>
      <w:r w:rsidR="00FA3CD6" w:rsidRPr="00F47666">
        <w:t xml:space="preserve">plnění jsou nižší (v řádech </w:t>
      </w:r>
      <w:r w:rsidR="00FA3CD6" w:rsidRPr="003E6A3A">
        <w:t xml:space="preserve">miliard). Skutečné navýšení plánovaných výdajů na nákup služeb oproti skutečnosti je tak větší než hodnota </w:t>
      </w:r>
      <w:r w:rsidR="00990A11" w:rsidRPr="003E6A3A">
        <w:t>4,6 %</w:t>
      </w:r>
      <w:r w:rsidR="003E6A3A" w:rsidRPr="003E6A3A">
        <w:rPr>
          <w:rStyle w:val="Znakapoznpodarou"/>
        </w:rPr>
        <w:footnoteReference w:id="1"/>
      </w:r>
      <w:r w:rsidR="00990A11" w:rsidRPr="003E6A3A">
        <w:t xml:space="preserve"> uváděná</w:t>
      </w:r>
      <w:r w:rsidR="00FA3CD6" w:rsidRPr="003E6A3A">
        <w:t xml:space="preserve"> jako meziroční</w:t>
      </w:r>
      <w:r w:rsidR="00FA3CD6" w:rsidRPr="00F47666">
        <w:t xml:space="preserve"> nárůst výdajů na služby (návrh rozpočtu 2016 vs. návrh rozpočtu 2015). Vláda si pravděpodobně nechává určitý prostor v rozpočtu, který by ale bylo možné využít buď přímo na snížení deficitu či na jiné prioritní výdaje.</w:t>
      </w:r>
      <w:r w:rsidR="00F705B7" w:rsidRPr="00F47666">
        <w:t xml:space="preserve"> </w:t>
      </w:r>
    </w:p>
    <w:p w:rsidR="00DA1D77" w:rsidRPr="00F47666" w:rsidRDefault="00EC560F" w:rsidP="00F47666">
      <w:pPr>
        <w:pStyle w:val="Odstavecseseznamem"/>
        <w:numPr>
          <w:ilvl w:val="0"/>
          <w:numId w:val="7"/>
        </w:numPr>
        <w:spacing w:after="60" w:line="300" w:lineRule="exact"/>
        <w:ind w:left="714" w:hanging="357"/>
      </w:pPr>
      <w:r>
        <w:t>Téměř v</w:t>
      </w:r>
      <w:r w:rsidR="00986F92">
        <w:t xml:space="preserve"> žádné kapitole ne</w:t>
      </w:r>
      <w:r w:rsidR="00DA1D77" w:rsidRPr="00F47666">
        <w:t>dochází k</w:t>
      </w:r>
      <w:r w:rsidR="00986F92">
        <w:t>e snižování počtu pracovních míst</w:t>
      </w:r>
      <w:r w:rsidR="00DA1D77" w:rsidRPr="00F47666">
        <w:t xml:space="preserve">. Pochopitelné je to například </w:t>
      </w:r>
      <w:r w:rsidR="00986F92">
        <w:t>při řešení</w:t>
      </w:r>
      <w:r>
        <w:t xml:space="preserve"> </w:t>
      </w:r>
      <w:r w:rsidR="00DA1D77" w:rsidRPr="00F47666">
        <w:t>otáz</w:t>
      </w:r>
      <w:r w:rsidR="00986F92">
        <w:t>ky</w:t>
      </w:r>
      <w:r w:rsidR="00DA1D77" w:rsidRPr="00F47666">
        <w:t xml:space="preserve"> uprchlíků. </w:t>
      </w:r>
      <w:r w:rsidR="00986F92">
        <w:t>V</w:t>
      </w:r>
      <w:r w:rsidR="003520FB" w:rsidRPr="00F47666">
        <w:t xml:space="preserve"> materiálu </w:t>
      </w:r>
      <w:r w:rsidR="00DA1D77" w:rsidRPr="00F47666">
        <w:t>není zmínka o racionalizacích, zvýšené efektivitě a podobných krocích</w:t>
      </w:r>
      <w:r w:rsidR="003520FB" w:rsidRPr="00F47666">
        <w:t>. Ve vztahu ke státní správě dlouhodobě požadujeme klientský přístup a zvýšení efektivity. Vývoj počtu pracovníků a související systémové změny ale zatím předkládány nejsou.</w:t>
      </w:r>
    </w:p>
    <w:p w:rsidR="005A3EA6" w:rsidRDefault="003520FB" w:rsidP="00F47666">
      <w:pPr>
        <w:pStyle w:val="Odstavecseseznamem"/>
        <w:numPr>
          <w:ilvl w:val="0"/>
          <w:numId w:val="7"/>
        </w:numPr>
        <w:spacing w:after="60" w:line="300" w:lineRule="exact"/>
        <w:ind w:left="714" w:hanging="357"/>
      </w:pPr>
      <w:r w:rsidRPr="00F47666">
        <w:t>Počet pracovníků se zvyšuje i s řadou nových nástrojů a opatření, která by měla zajištění fungování státní správy či stabilitu veřejných financí „zlepšit“. Nicméně primární musí být takové nastavení, které nepovede ke zvýšení povinností na straně zaměstnavatelů. Například a</w:t>
      </w:r>
      <w:r w:rsidR="00DA1D77" w:rsidRPr="00F47666">
        <w:t xml:space="preserve">genda elektronické evidence tržeb </w:t>
      </w:r>
      <w:r w:rsidR="0015541C" w:rsidRPr="00F47666">
        <w:t>bude představovat dodatečné nároky na rozpočet (vývoj a správa systému), včetně navýšení pracovníků</w:t>
      </w:r>
      <w:r w:rsidR="00DA1D77" w:rsidRPr="00F47666">
        <w:t>.</w:t>
      </w:r>
      <w:r w:rsidR="00303B14" w:rsidRPr="00F47666">
        <w:t xml:space="preserve"> Dle informac</w:t>
      </w:r>
      <w:r w:rsidR="0015541C" w:rsidRPr="00F47666">
        <w:t>í</w:t>
      </w:r>
      <w:r w:rsidR="00303B14" w:rsidRPr="00F47666">
        <w:t xml:space="preserve"> z podkladů se jedná o</w:t>
      </w:r>
      <w:r w:rsidR="00DA1D77" w:rsidRPr="00F47666">
        <w:t xml:space="preserve"> </w:t>
      </w:r>
      <w:r w:rsidR="005A3EA6" w:rsidRPr="00F47666">
        <w:t xml:space="preserve">354 </w:t>
      </w:r>
      <w:r w:rsidRPr="00F47666">
        <w:t xml:space="preserve">nových </w:t>
      </w:r>
      <w:r w:rsidR="005A3EA6" w:rsidRPr="00F47666">
        <w:t>míst v Generálním finančním ředitelství a 168 míst u Generálního ředitelství cel na rozšíření kompetencí v oblasti trestního řízení a agendu elektronické evidence tržeb</w:t>
      </w:r>
      <w:r w:rsidR="00303B14" w:rsidRPr="00F47666">
        <w:t xml:space="preserve">. </w:t>
      </w:r>
      <w:r w:rsidRPr="00F47666">
        <w:t>Nutnost zajištění dostatečného počtu pracovníků finanční správy je</w:t>
      </w:r>
      <w:r w:rsidR="00303B14" w:rsidRPr="00F47666">
        <w:t xml:space="preserve"> </w:t>
      </w:r>
      <w:r w:rsidRPr="00F47666">
        <w:t>logick</w:t>
      </w:r>
      <w:r w:rsidR="007846C9">
        <w:t>á</w:t>
      </w:r>
      <w:r w:rsidRPr="00F47666">
        <w:t xml:space="preserve"> a nezbytn</w:t>
      </w:r>
      <w:r w:rsidR="007846C9">
        <w:t>á</w:t>
      </w:r>
      <w:r w:rsidRPr="00F47666">
        <w:t xml:space="preserve"> k zajištění funkčnosti nástroje (bez efektivní kontroly by nástroj </w:t>
      </w:r>
      <w:r w:rsidR="00F47666" w:rsidRPr="00F47666">
        <w:t>nefungoval)</w:t>
      </w:r>
      <w:r w:rsidR="00303B14" w:rsidRPr="00F47666">
        <w:t>, nicméně neuvádí se otázka zvýšení efektivnosti kontrol</w:t>
      </w:r>
      <w:r w:rsidR="00F47666" w:rsidRPr="00F47666">
        <w:t xml:space="preserve">, které by </w:t>
      </w:r>
      <w:r w:rsidR="007846C9">
        <w:t xml:space="preserve">konečně skutečně </w:t>
      </w:r>
      <w:r w:rsidR="00F47666" w:rsidRPr="00F47666">
        <w:t>snížily zatížení poctivých plátců.</w:t>
      </w:r>
    </w:p>
    <w:p w:rsidR="00825CA2" w:rsidRDefault="00825CA2" w:rsidP="00825CA2">
      <w:pPr>
        <w:spacing w:after="60" w:line="300" w:lineRule="exact"/>
      </w:pPr>
    </w:p>
    <w:p w:rsidR="00825CA2" w:rsidRPr="00825CA2" w:rsidRDefault="00C338A3" w:rsidP="00825CA2">
      <w:pPr>
        <w:pStyle w:val="Odstavecseseznamem"/>
        <w:numPr>
          <w:ilvl w:val="0"/>
          <w:numId w:val="6"/>
        </w:numPr>
        <w:spacing w:after="80"/>
        <w:rPr>
          <w:b/>
        </w:rPr>
      </w:pPr>
      <w:r>
        <w:rPr>
          <w:b/>
        </w:rPr>
        <w:t>K podpoře výzkumu a vývoje – negativní prvek výdajové strany</w:t>
      </w:r>
    </w:p>
    <w:p w:rsidR="001F0CEE" w:rsidRPr="00C338A3" w:rsidRDefault="00C338A3" w:rsidP="009C2C94">
      <w:pPr>
        <w:pStyle w:val="Odstavecseseznamem"/>
        <w:numPr>
          <w:ilvl w:val="0"/>
          <w:numId w:val="7"/>
        </w:numPr>
        <w:spacing w:after="60" w:line="300" w:lineRule="exact"/>
      </w:pPr>
      <w:r w:rsidRPr="00C338A3">
        <w:t>N</w:t>
      </w:r>
      <w:r w:rsidR="00FA2F1B" w:rsidRPr="00C338A3">
        <w:t>ejvětší problém z hlediska objemu financí vidíme v</w:t>
      </w:r>
      <w:r w:rsidR="007846C9" w:rsidRPr="00C338A3">
        <w:t> podpoře aplikovaného výzkumu</w:t>
      </w:r>
      <w:r w:rsidR="009C2C94">
        <w:t xml:space="preserve">. </w:t>
      </w:r>
      <w:bookmarkStart w:id="0" w:name="_GoBack"/>
      <w:r w:rsidR="00FA2F1B" w:rsidRPr="00C338A3">
        <w:t>Předložený návrh státního rozpočtu potvrzuje sestupný vývoj podpory aplikovaného výzkumu v České republice. Žádáme vládu, aby zastavila propad financování aplikovaného výzkumu, kdy v tomto roce jsme na polovině objemu roku 2012 a v roce 2018 se dostaneme na méně než třetinu. Nadále zůstává zásadní nepoměr základního a aplikovaného výzkumu</w:t>
      </w:r>
      <w:r w:rsidR="001F0CEE" w:rsidRPr="00C338A3">
        <w:t>.</w:t>
      </w:r>
      <w:r w:rsidR="001F0CEE" w:rsidRPr="00C338A3" w:rsidDel="001F0CEE">
        <w:t xml:space="preserve"> </w:t>
      </w:r>
    </w:p>
    <w:p w:rsidR="00C338A3" w:rsidRPr="00C338A3" w:rsidRDefault="007846C9" w:rsidP="009C2C94">
      <w:pPr>
        <w:pStyle w:val="Odstavecseseznamem"/>
        <w:numPr>
          <w:ilvl w:val="0"/>
          <w:numId w:val="7"/>
        </w:numPr>
        <w:spacing w:after="60" w:line="300" w:lineRule="exact"/>
      </w:pPr>
      <w:r w:rsidRPr="00C338A3">
        <w:t>P</w:t>
      </w:r>
      <w:r w:rsidR="00FA2F1B" w:rsidRPr="00C338A3">
        <w:t xml:space="preserve">ožadujeme úpravu rozpočtu kapitoly Technologické agentury ČR, aby bylo možné realizovat soutěže v programech GAMA, DELTA a EPSILON, a tak naplnit indikátory těchto vládou schválených programů. </w:t>
      </w:r>
      <w:r w:rsidR="001F0CEE" w:rsidRPr="00C338A3">
        <w:t>Jedná se o n</w:t>
      </w:r>
      <w:r w:rsidR="00FA2F1B" w:rsidRPr="00C338A3">
        <w:t>avýšení zejména rozpočtu TAČR pro program EPSILON v roce 2016 o cca 500 mil. Kč n</w:t>
      </w:r>
      <w:r w:rsidR="001D313F" w:rsidRPr="00C338A3">
        <w:t xml:space="preserve">a 3,359 mld. Kč. </w:t>
      </w:r>
    </w:p>
    <w:bookmarkEnd w:id="0"/>
    <w:p w:rsidR="00FA2F1B" w:rsidRPr="00C338A3" w:rsidRDefault="00F81263" w:rsidP="009C2C94">
      <w:pPr>
        <w:pStyle w:val="Odstavecseseznamem"/>
        <w:numPr>
          <w:ilvl w:val="0"/>
          <w:numId w:val="7"/>
        </w:numPr>
        <w:spacing w:after="60" w:line="300" w:lineRule="exact"/>
      </w:pPr>
      <w:r w:rsidRPr="00C338A3">
        <w:t>Celý podklad - viz příloha</w:t>
      </w:r>
    </w:p>
    <w:p w:rsidR="006470D3" w:rsidRPr="001F0CEE" w:rsidRDefault="006470D3" w:rsidP="006470D3">
      <w:pPr>
        <w:spacing w:after="60" w:line="300" w:lineRule="exact"/>
        <w:rPr>
          <w:b/>
        </w:rPr>
      </w:pPr>
    </w:p>
    <w:p w:rsidR="00B50C13" w:rsidRDefault="001D313F" w:rsidP="006470D3">
      <w:pPr>
        <w:pStyle w:val="Odstavecseseznamem"/>
        <w:numPr>
          <w:ilvl w:val="0"/>
          <w:numId w:val="6"/>
        </w:numPr>
        <w:spacing w:after="80"/>
        <w:rPr>
          <w:b/>
        </w:rPr>
      </w:pPr>
      <w:r>
        <w:rPr>
          <w:b/>
        </w:rPr>
        <w:t>Pozitiva návrhu – podpora ze strany S</w:t>
      </w:r>
      <w:r w:rsidR="00B50C13">
        <w:rPr>
          <w:b/>
        </w:rPr>
        <w:t>P ČR</w:t>
      </w:r>
    </w:p>
    <w:p w:rsidR="00EE1013" w:rsidRDefault="00AA41A9">
      <w:pPr>
        <w:pStyle w:val="Odstavecseseznamem"/>
        <w:numPr>
          <w:ilvl w:val="0"/>
          <w:numId w:val="7"/>
        </w:numPr>
        <w:spacing w:after="60" w:line="300" w:lineRule="exact"/>
        <w:ind w:left="714" w:hanging="357"/>
      </w:pPr>
      <w:r>
        <w:t xml:space="preserve">Navýšení </w:t>
      </w:r>
      <w:r w:rsidRPr="00375D86">
        <w:t>dotac</w:t>
      </w:r>
      <w:r>
        <w:t xml:space="preserve">í v kapitole MPO </w:t>
      </w:r>
      <w:r w:rsidRPr="00375D86">
        <w:t xml:space="preserve">na obnovitelné zdroje energie ve výši 20,4 mld. Kč, která je určena na úhradu nákladů spojených s podporou elektřiny a provozní podporou tepla. </w:t>
      </w:r>
    </w:p>
    <w:p w:rsidR="00EE1013" w:rsidRDefault="00990A11">
      <w:pPr>
        <w:pStyle w:val="Odstavecseseznamem"/>
        <w:numPr>
          <w:ilvl w:val="0"/>
          <w:numId w:val="7"/>
        </w:numPr>
        <w:spacing w:after="60" w:line="300" w:lineRule="exact"/>
        <w:ind w:left="714" w:hanging="357"/>
      </w:pPr>
      <w:r w:rsidRPr="00990A11">
        <w:t xml:space="preserve">Posílení výdajů u klíčových institucí na podporu exportu: </w:t>
      </w:r>
      <w:r w:rsidR="00AA41A9" w:rsidRPr="00375D86">
        <w:t>Na podporu exportu je zajištěno celkem 4,72 mld. Kč v rámci kapitoly Všeobecná pokladní správa. Z toho na zvýšení základního kapitálu České exportní banky, a.s. (dále ČEB) částka 1 mld. Kč a dotace na podporu exportu prostřednictvím ČEB částka 1,27 mld. Kč a na doplnění pojistných fondů EGAP, a.s. částka 2,2 mld. Kč.</w:t>
      </w:r>
      <w:r w:rsidR="00AA41A9">
        <w:t xml:space="preserve"> </w:t>
      </w:r>
    </w:p>
    <w:p w:rsidR="00A275A2" w:rsidRDefault="00A275A2">
      <w:pPr>
        <w:rPr>
          <w:b/>
        </w:rPr>
      </w:pPr>
      <w:r>
        <w:rPr>
          <w:b/>
        </w:rPr>
        <w:br w:type="page"/>
      </w:r>
    </w:p>
    <w:p w:rsidR="006470D3" w:rsidRPr="00825CA2" w:rsidRDefault="007152C4" w:rsidP="006470D3">
      <w:pPr>
        <w:pStyle w:val="Odstavecseseznamem"/>
        <w:numPr>
          <w:ilvl w:val="0"/>
          <w:numId w:val="6"/>
        </w:numPr>
        <w:spacing w:after="80"/>
        <w:rPr>
          <w:b/>
        </w:rPr>
      </w:pPr>
      <w:r>
        <w:rPr>
          <w:b/>
        </w:rPr>
        <w:t xml:space="preserve">Příloha: </w:t>
      </w:r>
      <w:r w:rsidR="006470D3">
        <w:rPr>
          <w:b/>
        </w:rPr>
        <w:t>Vybrané</w:t>
      </w:r>
      <w:r w:rsidR="006470D3" w:rsidRPr="006470D3">
        <w:rPr>
          <w:b/>
        </w:rPr>
        <w:t xml:space="preserve"> informace vykopírované z předložené zprávy MF</w:t>
      </w:r>
      <w:r w:rsidR="00FA2F1B">
        <w:rPr>
          <w:b/>
        </w:rPr>
        <w:t xml:space="preserve"> (pouze pro informaci)</w:t>
      </w:r>
      <w:r w:rsidR="006470D3" w:rsidRPr="006470D3">
        <w:rPr>
          <w:b/>
        </w:rPr>
        <w:t>:</w:t>
      </w:r>
    </w:p>
    <w:p w:rsidR="006470D3" w:rsidRDefault="006470D3" w:rsidP="006470D3">
      <w:pPr>
        <w:pStyle w:val="Odstavecseseznamem"/>
        <w:numPr>
          <w:ilvl w:val="0"/>
          <w:numId w:val="7"/>
        </w:numPr>
        <w:spacing w:after="60" w:line="300" w:lineRule="exact"/>
        <w:ind w:left="714" w:hanging="357"/>
      </w:pPr>
      <w:r>
        <w:t xml:space="preserve">Pozn.: Celkové výdaje (bez prostředků EU) navýšeny oproti návrhu předloženého před měsícem zhruba o 16,3 </w:t>
      </w:r>
      <w:proofErr w:type="spellStart"/>
      <w:proofErr w:type="gramStart"/>
      <w:r>
        <w:t>mld.Kč</w:t>
      </w:r>
      <w:proofErr w:type="spellEnd"/>
      <w:proofErr w:type="gramEnd"/>
      <w:r>
        <w:t xml:space="preserve">. Celkové příjmy (bez prostředků EU) vzrostly také o 16,3 </w:t>
      </w:r>
      <w:proofErr w:type="spellStart"/>
      <w:proofErr w:type="gramStart"/>
      <w:r>
        <w:t>mld.Kč</w:t>
      </w:r>
      <w:proofErr w:type="spellEnd"/>
      <w:proofErr w:type="gramEnd"/>
      <w:r>
        <w:t xml:space="preserve"> (Daňové o 9 </w:t>
      </w:r>
      <w:proofErr w:type="spellStart"/>
      <w:r>
        <w:t>mld.Kč</w:t>
      </w:r>
      <w:proofErr w:type="spellEnd"/>
      <w:r>
        <w:t xml:space="preserve">, z pojistného o 2,5 </w:t>
      </w:r>
      <w:proofErr w:type="spellStart"/>
      <w:r>
        <w:t>mld.Kč</w:t>
      </w:r>
      <w:proofErr w:type="spellEnd"/>
      <w:r>
        <w:t>).</w:t>
      </w:r>
    </w:p>
    <w:p w:rsidR="003520FB" w:rsidRPr="006470D3" w:rsidRDefault="006470D3" w:rsidP="006470D3">
      <w:pPr>
        <w:pStyle w:val="Odstavecseseznamem"/>
        <w:numPr>
          <w:ilvl w:val="0"/>
          <w:numId w:val="7"/>
        </w:numPr>
        <w:spacing w:after="60" w:line="300" w:lineRule="exact"/>
        <w:ind w:left="714" w:hanging="357"/>
      </w:pPr>
      <w:r w:rsidRPr="006470D3">
        <w:t xml:space="preserve">Položka nákupy služeb </w:t>
      </w:r>
      <w:r w:rsidR="003E6A3A">
        <w:t xml:space="preserve">v tzv. běžných výdajích </w:t>
      </w:r>
      <w:r w:rsidRPr="006470D3">
        <w:t>zahrnuje</w:t>
      </w:r>
      <w:r w:rsidR="003520FB" w:rsidRPr="006470D3">
        <w:t xml:space="preserve"> zejména výdaje za poštovní služby, služby telekomunikací a radiokomunikací, konzultační, poradenské a právní služby, výdaje za školení a vzdělávání včetně rekvalifikací realizovaných v rámci aktivní politiky zaměstnanosti a výdaje za služby zpracování dat. </w:t>
      </w:r>
    </w:p>
    <w:p w:rsidR="008A5430" w:rsidRPr="00375D86" w:rsidRDefault="008A5430" w:rsidP="00375D86">
      <w:pPr>
        <w:pStyle w:val="Odstavecseseznamem"/>
        <w:numPr>
          <w:ilvl w:val="0"/>
          <w:numId w:val="7"/>
        </w:numPr>
        <w:spacing w:after="60" w:line="300" w:lineRule="exact"/>
        <w:ind w:left="714" w:hanging="357"/>
      </w:pPr>
      <w:r w:rsidRPr="00375D86">
        <w:t>O</w:t>
      </w:r>
      <w:r w:rsidR="00A71DA3" w:rsidRPr="00375D86">
        <w:t xml:space="preserve">bjem prostředků na neinvestiční transfery podnikatelským subjektům v rámci </w:t>
      </w:r>
      <w:r w:rsidRPr="00375D86">
        <w:t>OPPIK (Operační program Podnikání a inovace pro konkurenceschopnost)</w:t>
      </w:r>
      <w:r w:rsidR="00A71DA3" w:rsidRPr="00375D86">
        <w:t xml:space="preserve"> dosahuje v návrhu rozpočtu </w:t>
      </w:r>
      <w:r w:rsidRPr="00375D86">
        <w:t xml:space="preserve">kapitoly MPO </w:t>
      </w:r>
      <w:r w:rsidR="00A71DA3" w:rsidRPr="00375D86">
        <w:t xml:space="preserve">na rok 2016 výše 9,5 mld. Kč (z toho výzkum a vývoj 3,8 mld. Kč). </w:t>
      </w:r>
    </w:p>
    <w:p w:rsidR="008A5430" w:rsidRPr="00375D86" w:rsidRDefault="00A71DA3" w:rsidP="00375D86">
      <w:pPr>
        <w:pStyle w:val="Odstavecseseznamem"/>
        <w:numPr>
          <w:ilvl w:val="0"/>
          <w:numId w:val="7"/>
        </w:numPr>
        <w:spacing w:after="60" w:line="300" w:lineRule="exact"/>
        <w:ind w:left="714" w:hanging="357"/>
      </w:pPr>
      <w:r w:rsidRPr="00375D86">
        <w:t xml:space="preserve">Na podporu Technologických center a center strategických služeb je rozpočtováno </w:t>
      </w:r>
      <w:r w:rsidR="008A5430" w:rsidRPr="00375D86">
        <w:t xml:space="preserve">v kapitole MPO </w:t>
      </w:r>
      <w:smartTag w:uri="urn:schemas-microsoft-com:office:smarttags" w:element="metricconverter">
        <w:smartTagPr>
          <w:attr w:name="ProductID" w:val="500 mil"/>
        </w:smartTagPr>
        <w:r w:rsidRPr="00375D86">
          <w:t>500 mil</w:t>
        </w:r>
      </w:smartTag>
      <w:r w:rsidRPr="00375D86">
        <w:t xml:space="preserve">. Kč. Podpora je zaměřena do oblastí progresivních technologií a aktivit s vysokou přidanou hodnotou a velkým exportním potenciálem. </w:t>
      </w:r>
    </w:p>
    <w:p w:rsidR="002921EC" w:rsidRDefault="002921EC" w:rsidP="002921EC">
      <w:pPr>
        <w:pStyle w:val="Odstavecseseznamem"/>
        <w:numPr>
          <w:ilvl w:val="0"/>
          <w:numId w:val="7"/>
        </w:numPr>
        <w:spacing w:after="60" w:line="300" w:lineRule="exact"/>
        <w:ind w:left="714" w:hanging="357"/>
      </w:pPr>
      <w:r>
        <w:t xml:space="preserve">V oblasti dopravy jde na </w:t>
      </w:r>
      <w:r w:rsidRPr="002921EC">
        <w:t>dotace ze státního rozpočtu z kapitoly MD na společné programy (projekty) EU a ČR cca 14,35 mld. a na dotace na krytí deficitu SFDI 20,8 mld. Kč. Obě položky jsou součástí příjmů SFDI.</w:t>
      </w:r>
    </w:p>
    <w:p w:rsidR="002921EC" w:rsidRDefault="002921EC" w:rsidP="002921EC">
      <w:pPr>
        <w:pStyle w:val="Odstavecseseznamem"/>
        <w:numPr>
          <w:ilvl w:val="0"/>
          <w:numId w:val="7"/>
        </w:numPr>
        <w:spacing w:after="60" w:line="300" w:lineRule="exact"/>
        <w:ind w:left="714" w:hanging="357"/>
      </w:pPr>
      <w:r>
        <w:t>Opět je růst výdajů spojen primárně s běžnými výdaji. Hodnotově a procentně největší nárůsty se týkají například růstu platů zaměstnanců, ale i neinvestičních transferů podnikatelským subjektům. Pokles kapitálových výdajů je spojen s ukončením minulého programového období a s pomalejším náběhem programů (spolu)financovaných z EU v novém programovém období.</w:t>
      </w:r>
    </w:p>
    <w:p w:rsidR="002921EC" w:rsidRDefault="002921EC" w:rsidP="002921EC">
      <w:pPr>
        <w:pStyle w:val="Odstavecseseznamem"/>
        <w:numPr>
          <w:ilvl w:val="0"/>
          <w:numId w:val="7"/>
        </w:numPr>
        <w:spacing w:after="60" w:line="300" w:lineRule="exact"/>
        <w:ind w:left="714" w:hanging="357"/>
      </w:pPr>
      <w:r>
        <w:t>Rozpočet příjmů z úhrad dobývacího prostoru a z vydobytých nerostů v kapitole Ministerstva průmyslu a obchodu a v kapitole Ministerstva životního prostředí činí celkem 0,23 mld. Kč;</w:t>
      </w:r>
    </w:p>
    <w:p w:rsidR="002921EC" w:rsidRDefault="002921EC" w:rsidP="002921EC">
      <w:pPr>
        <w:pStyle w:val="Odstavecseseznamem"/>
        <w:numPr>
          <w:ilvl w:val="0"/>
          <w:numId w:val="7"/>
        </w:numPr>
        <w:spacing w:after="60" w:line="300" w:lineRule="exact"/>
        <w:ind w:left="714" w:hanging="357"/>
      </w:pPr>
      <w:r>
        <w:t xml:space="preserve">Příjmy z rozpočtu Evropské unie se rozpočtují ve výši 92,9 mld. Kč (v roce 2015 činil schválený rozpočet 86,7 mld. Kč). </w:t>
      </w:r>
    </w:p>
    <w:p w:rsidR="009B17D1" w:rsidRDefault="002921EC" w:rsidP="002921EC">
      <w:pPr>
        <w:pStyle w:val="Odstavecseseznamem"/>
        <w:numPr>
          <w:ilvl w:val="0"/>
          <w:numId w:val="7"/>
        </w:numPr>
        <w:spacing w:after="60" w:line="300" w:lineRule="exact"/>
        <w:ind w:left="714" w:hanging="357"/>
      </w:pPr>
      <w:r>
        <w:t>v kapitole Všeobecná pokladní správa příjmy z privatizačních účtů ve výši 11,7 mld. Kč. Zdrojem těchto příjmů by měly být dividendy z akciových společností s účastí státu – ČEZ, a.s., MERO a.s., ČEPRO a.s. a ČAH, a.s.) a prostředky z „malé privatizace“ podle novely zákona č. 500/1990 Sb.</w:t>
      </w:r>
    </w:p>
    <w:p w:rsidR="00FA2F1B" w:rsidRDefault="00FA2F1B" w:rsidP="00FA2F1B">
      <w:pPr>
        <w:spacing w:after="60" w:line="300" w:lineRule="exact"/>
      </w:pPr>
    </w:p>
    <w:p w:rsidR="00FA2F1B" w:rsidRDefault="00FA2F1B">
      <w:r>
        <w:br w:type="page"/>
      </w:r>
    </w:p>
    <w:p w:rsidR="00FA2F1B" w:rsidRPr="00FA2F1B" w:rsidRDefault="00FA2F1B" w:rsidP="00FA2F1B">
      <w:pPr>
        <w:spacing w:after="60" w:line="300" w:lineRule="exact"/>
        <w:rPr>
          <w:b/>
          <w:sz w:val="28"/>
        </w:rPr>
      </w:pPr>
      <w:r w:rsidRPr="00FA2F1B">
        <w:rPr>
          <w:b/>
          <w:sz w:val="28"/>
        </w:rPr>
        <w:t>PŘÍLOHA</w:t>
      </w:r>
      <w:r>
        <w:rPr>
          <w:b/>
          <w:sz w:val="28"/>
        </w:rPr>
        <w:t>:</w:t>
      </w:r>
    </w:p>
    <w:p w:rsidR="00FA2F1B" w:rsidRPr="00FD7A44" w:rsidRDefault="00FA2F1B" w:rsidP="00FA2F1B">
      <w:pPr>
        <w:pStyle w:val="Bezmezer"/>
        <w:spacing w:after="18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Prostředky ze státního rozpočtu na výzkum, vývoj a inovace</w:t>
      </w:r>
    </w:p>
    <w:p w:rsidR="00FA2F1B" w:rsidRDefault="00FA2F1B" w:rsidP="00FA2F1B">
      <w:pPr>
        <w:autoSpaceDE w:val="0"/>
        <w:autoSpaceDN w:val="0"/>
        <w:spacing w:after="60" w:line="300" w:lineRule="exact"/>
        <w:jc w:val="both"/>
        <w:rPr>
          <w:rFonts w:cstheme="minorHAnsi"/>
        </w:rPr>
      </w:pPr>
      <w:r w:rsidRPr="00BD5F45">
        <w:rPr>
          <w:rFonts w:cstheme="minorHAnsi"/>
        </w:rPr>
        <w:t>Předložený návrh státního rozpočtu potvrzuje sestupný vývoj podpory aplikovaného výzkumu v České republice. Letos nebyla dokonce vyhlášena žádná relevantní soutěž. Za poslední roky se tak stalo poprvé. Žádáme vládu, aby zastavila propad financování aplikovaného výzkumu, kdy v tomto roce jsme na polovině objemu roku 2012 a v roce 2018 se dostaneme na méně než třetinu</w:t>
      </w:r>
      <w:r w:rsidR="005C7A25">
        <w:rPr>
          <w:rFonts w:cstheme="minorHAnsi"/>
        </w:rPr>
        <w:t>.</w:t>
      </w:r>
      <w:r w:rsidR="007152C4">
        <w:rPr>
          <w:rFonts w:cstheme="minorHAnsi"/>
        </w:rPr>
        <w:t xml:space="preserve"> </w:t>
      </w:r>
      <w:r w:rsidRPr="00BD5F45">
        <w:rPr>
          <w:rFonts w:cstheme="minorHAnsi"/>
        </w:rPr>
        <w:t xml:space="preserve">Vývoj státního rozpočtu na </w:t>
      </w:r>
      <w:proofErr w:type="spellStart"/>
      <w:r w:rsidRPr="00BD5F45">
        <w:rPr>
          <w:rFonts w:cstheme="minorHAnsi"/>
        </w:rPr>
        <w:t>VaVaI</w:t>
      </w:r>
      <w:proofErr w:type="spellEnd"/>
      <w:r w:rsidRPr="00BD5F45">
        <w:rPr>
          <w:rFonts w:cstheme="minorHAnsi"/>
        </w:rPr>
        <w:t xml:space="preserve"> zobrazuje následující tabulka.</w:t>
      </w:r>
    </w:p>
    <w:p w:rsidR="00FA2F1B" w:rsidRPr="00A50D4C" w:rsidRDefault="00FA2F1B" w:rsidP="00FA2F1B">
      <w:pPr>
        <w:spacing w:before="120" w:after="60" w:line="300" w:lineRule="exact"/>
        <w:jc w:val="both"/>
        <w:rPr>
          <w:rFonts w:cstheme="minorHAnsi"/>
          <w:b/>
          <w:bCs/>
        </w:rPr>
      </w:pPr>
      <w:r w:rsidRPr="00A50D4C">
        <w:rPr>
          <w:rFonts w:cstheme="minorHAnsi"/>
          <w:b/>
          <w:bCs/>
        </w:rPr>
        <w:t>Přehled prostředků státního rozpočtu na aplikovaný výzkum od roku 2009</w:t>
      </w:r>
    </w:p>
    <w:p w:rsidR="00FA2F1B" w:rsidRPr="00A50D4C" w:rsidRDefault="00FA2F1B" w:rsidP="00FA2F1B">
      <w:pPr>
        <w:autoSpaceDE w:val="0"/>
        <w:autoSpaceDN w:val="0"/>
        <w:rPr>
          <w:rFonts w:cstheme="minorHAnsi"/>
        </w:rPr>
      </w:pPr>
      <w:r w:rsidRPr="00A50D4C">
        <w:rPr>
          <w:rFonts w:cstheme="minorHAnsi"/>
          <w:noProof/>
          <w:lang w:eastAsia="cs-CZ"/>
        </w:rPr>
        <w:drawing>
          <wp:inline distT="0" distB="0" distL="0" distR="0">
            <wp:extent cx="5759450" cy="3037090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Shape 54"/>
                    <pic:cNvPicPr preferRelativeResize="0"/>
                  </pic:nvPicPr>
                  <pic:blipFill>
                    <a:blip r:embed="rId8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3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1B" w:rsidRPr="004D6DEB" w:rsidRDefault="00FA2F1B" w:rsidP="00FA2F1B">
      <w:pPr>
        <w:autoSpaceDE w:val="0"/>
        <w:autoSpaceDN w:val="0"/>
        <w:spacing w:after="60" w:line="300" w:lineRule="exact"/>
        <w:jc w:val="both"/>
        <w:rPr>
          <w:rFonts w:ascii="Calibri" w:hAnsi="Calibri" w:cs="Calibri"/>
          <w:b/>
        </w:rPr>
      </w:pPr>
      <w:r w:rsidRPr="004D6DEB">
        <w:rPr>
          <w:rFonts w:ascii="Calibri" w:hAnsi="Calibri" w:cs="Calibri"/>
          <w:b/>
        </w:rPr>
        <w:t>Ukazuje se neplnění slibu vlády (čárkovaná část). Nadále zůstává zásadní nepoměr základního a aplikovaného výzkumu.</w:t>
      </w:r>
    </w:p>
    <w:p w:rsidR="00FA2F1B" w:rsidRDefault="00FA2F1B" w:rsidP="00FA2F1B">
      <w:pPr>
        <w:autoSpaceDE w:val="0"/>
        <w:autoSpaceDN w:val="0"/>
        <w:spacing w:after="60" w:line="300" w:lineRule="exact"/>
        <w:jc w:val="both"/>
        <w:rPr>
          <w:rFonts w:ascii="Calibri" w:hAnsi="Calibri" w:cs="Calibri"/>
        </w:rPr>
      </w:pPr>
      <w:r w:rsidRPr="00302BF7">
        <w:rPr>
          <w:rFonts w:ascii="Calibri" w:hAnsi="Calibri" w:cs="Calibri"/>
        </w:rPr>
        <w:t xml:space="preserve">Pro obrácení negativního trendu požadujeme </w:t>
      </w:r>
      <w:r w:rsidRPr="006E5B85">
        <w:rPr>
          <w:rFonts w:cstheme="minorHAnsi"/>
        </w:rPr>
        <w:t>úpravu rozpočtu</w:t>
      </w:r>
      <w:r w:rsidRPr="00C47B2C">
        <w:rPr>
          <w:rFonts w:ascii="Calibri" w:hAnsi="Calibri" w:cs="Calibri"/>
        </w:rPr>
        <w:t xml:space="preserve"> </w:t>
      </w:r>
      <w:r w:rsidRPr="00302BF7">
        <w:rPr>
          <w:rFonts w:ascii="Calibri" w:hAnsi="Calibri" w:cs="Calibri"/>
        </w:rPr>
        <w:t>kapitoly Technologické agentury ČR</w:t>
      </w:r>
      <w:r w:rsidRPr="006E5B85">
        <w:rPr>
          <w:rFonts w:cstheme="minorHAnsi"/>
        </w:rPr>
        <w:t xml:space="preserve">, aby bylo možné realizovat soutěže v programech GAMA, DELTA a EPSILON, a tak naplnit indikátory těchto vládou schválených programů. </w:t>
      </w:r>
      <w:r w:rsidR="005C7A25">
        <w:rPr>
          <w:rFonts w:cstheme="minorHAnsi"/>
        </w:rPr>
        <w:t>Jedná se o n</w:t>
      </w:r>
      <w:r w:rsidRPr="00302BF7">
        <w:rPr>
          <w:rFonts w:ascii="Calibri" w:hAnsi="Calibri" w:cs="Calibri"/>
        </w:rPr>
        <w:t>avýšení zejména rozpočtu</w:t>
      </w:r>
      <w:r>
        <w:rPr>
          <w:rFonts w:ascii="Calibri" w:hAnsi="Calibri" w:cs="Calibri"/>
        </w:rPr>
        <w:t xml:space="preserve"> TAČR </w:t>
      </w:r>
      <w:r w:rsidRPr="00302BF7">
        <w:rPr>
          <w:rFonts w:ascii="Calibri" w:hAnsi="Calibri" w:cs="Calibri"/>
        </w:rPr>
        <w:t>pro program EPSILON</w:t>
      </w:r>
      <w:r>
        <w:rPr>
          <w:rFonts w:ascii="Calibri" w:hAnsi="Calibri" w:cs="Calibri"/>
        </w:rPr>
        <w:t xml:space="preserve"> v roce 2016 o cca 500 mil. Kč na 3,359 mld. Kč umožní vypsat další soutěž a zastavit tak pokles výdajů na aplikovaný výzkum.</w:t>
      </w:r>
    </w:p>
    <w:p w:rsidR="00FA2F1B" w:rsidRPr="00C47B2C" w:rsidRDefault="00FA2F1B" w:rsidP="00FA2F1B">
      <w:pPr>
        <w:autoSpaceDE w:val="0"/>
        <w:autoSpaceDN w:val="0"/>
        <w:spacing w:after="60" w:line="300" w:lineRule="exact"/>
        <w:jc w:val="both"/>
        <w:rPr>
          <w:rFonts w:ascii="Calibri" w:hAnsi="Calibri" w:cs="Calibri"/>
        </w:rPr>
      </w:pPr>
      <w:r w:rsidRPr="00C47B2C">
        <w:rPr>
          <w:rFonts w:ascii="Calibri" w:hAnsi="Calibri" w:cs="Calibri"/>
        </w:rPr>
        <w:t>Rovněž žádáme o navýšení objemu prostředků v kapitole MŠMT na podporu projektů mezinárodní spolupráce.</w:t>
      </w:r>
      <w:r>
        <w:rPr>
          <w:rFonts w:ascii="Calibri" w:hAnsi="Calibri" w:cs="Calibri"/>
        </w:rPr>
        <w:t xml:space="preserve"> </w:t>
      </w:r>
      <w:r w:rsidRPr="00C47B2C">
        <w:rPr>
          <w:rFonts w:ascii="Calibri" w:hAnsi="Calibri" w:cs="Calibri"/>
        </w:rPr>
        <w:t>Navržený rozpočet neumožňuje vypsání soutěží na podporu projektů mezinárodní spolupráce (COST, EUREKA, EUROSTARS, INGO, KONTAKT, EUPRO), protože rozpočet až do roku 2017 předpokládá pouze doběh současných projektů. V roce 2018 je sice plánován nový program, ale do té doby je prakticky stop-stav pro mezinárodní spolupráci, protože všechny prostředky v letech 2016 a 2017 jdou na podporu udržitelnosti výzkumných center</w:t>
      </w:r>
      <w:r>
        <w:rPr>
          <w:rFonts w:ascii="Calibri" w:hAnsi="Calibri" w:cs="Calibri"/>
        </w:rPr>
        <w:t xml:space="preserve">. </w:t>
      </w:r>
    </w:p>
    <w:p w:rsidR="00FA2F1B" w:rsidRDefault="00FA2F1B" w:rsidP="00FA2F1B">
      <w:pPr>
        <w:autoSpaceDE w:val="0"/>
        <w:autoSpaceDN w:val="0"/>
        <w:spacing w:after="60" w:line="30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znepokojením sledujeme výhled na roky 2017 a zejména 2018. Návrh rozpočtu pro kapitoly TAČR a MPO předpokládá sice stagnaci, ale celková podpora aplikovaného výzkumu zahrnující stěžejní programy zaznamená pokles</w:t>
      </w:r>
      <w:r w:rsidR="007152C4">
        <w:rPr>
          <w:rFonts w:ascii="Calibri" w:hAnsi="Calibri" w:cs="Calibri"/>
        </w:rPr>
        <w:t>, a to i v případě, že se realizují programy financované z </w:t>
      </w:r>
      <w:proofErr w:type="gramStart"/>
      <w:r w:rsidR="007152C4">
        <w:rPr>
          <w:rFonts w:ascii="Calibri" w:hAnsi="Calibri" w:cs="Calibri"/>
        </w:rPr>
        <w:t>OP</w:t>
      </w:r>
      <w:proofErr w:type="gramEnd"/>
      <w:r w:rsidR="007152C4">
        <w:rPr>
          <w:rFonts w:ascii="Calibri" w:hAnsi="Calibri" w:cs="Calibri"/>
        </w:rPr>
        <w:t xml:space="preserve"> PIK.</w:t>
      </w:r>
    </w:p>
    <w:sectPr w:rsidR="00FA2F1B" w:rsidSect="00CE5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DF" w:rsidRDefault="00D15FDF" w:rsidP="003E6A3A">
      <w:pPr>
        <w:spacing w:after="0" w:line="240" w:lineRule="auto"/>
      </w:pPr>
      <w:r>
        <w:separator/>
      </w:r>
    </w:p>
  </w:endnote>
  <w:endnote w:type="continuationSeparator" w:id="0">
    <w:p w:rsidR="00D15FDF" w:rsidRDefault="00D15FDF" w:rsidP="003E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libri"/>
    <w:charset w:val="EE"/>
    <w:family w:val="swiss"/>
    <w:pitch w:val="variable"/>
    <w:sig w:usb0="00000007" w:usb1="00000000" w:usb2="00000000" w:usb3="00000000" w:csb0="00000093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89" w:rsidRDefault="00250D89" w:rsidP="00250D89">
    <w:pPr>
      <w:pStyle w:val="Zpat"/>
      <w:tabs>
        <w:tab w:val="left" w:pos="6804"/>
      </w:tabs>
      <w:spacing w:line="240" w:lineRule="atLeast"/>
      <w:rPr>
        <w:rFonts w:ascii="CG Omega" w:hAnsi="CG Omega"/>
        <w:color w:val="005FA4"/>
        <w:sz w:val="16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130810</wp:posOffset>
          </wp:positionV>
          <wp:extent cx="1543685" cy="373380"/>
          <wp:effectExtent l="0" t="0" r="0" b="0"/>
          <wp:wrapNone/>
          <wp:docPr id="8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G Omega" w:hAnsi="CG Omega"/>
        <w:noProof/>
        <w:color w:val="005FA4"/>
        <w:sz w:val="16"/>
      </w:rPr>
      <w:t>Freyova 948/11, 190 05  Praha 9</w:t>
    </w:r>
    <w:r>
      <w:rPr>
        <w:rFonts w:ascii="CG Omega" w:hAnsi="CG Omega"/>
        <w:color w:val="005FA4"/>
        <w:sz w:val="16"/>
      </w:rPr>
      <w:tab/>
    </w:r>
    <w:r>
      <w:rPr>
        <w:rFonts w:ascii="CG Omega" w:hAnsi="CG Omega"/>
        <w:color w:val="005FA4"/>
        <w:sz w:val="16"/>
      </w:rPr>
      <w:tab/>
    </w:r>
    <w:proofErr w:type="spellStart"/>
    <w:r>
      <w:rPr>
        <w:rFonts w:ascii="CG Omega" w:hAnsi="CG Omega"/>
        <w:color w:val="005FA4"/>
        <w:sz w:val="16"/>
      </w:rPr>
      <w:t>Member</w:t>
    </w:r>
    <w:proofErr w:type="spellEnd"/>
    <w:r>
      <w:rPr>
        <w:rFonts w:ascii="CG Omega" w:hAnsi="CG Omega"/>
        <w:color w:val="005FA4"/>
        <w:sz w:val="16"/>
      </w:rPr>
      <w:t xml:space="preserve"> </w:t>
    </w:r>
    <w:proofErr w:type="spellStart"/>
    <w:r>
      <w:rPr>
        <w:rFonts w:ascii="CG Omega" w:hAnsi="CG Omega"/>
        <w:color w:val="005FA4"/>
        <w:sz w:val="16"/>
      </w:rPr>
      <w:t>of</w:t>
    </w:r>
    <w:proofErr w:type="spellEnd"/>
  </w:p>
  <w:p w:rsidR="00250D89" w:rsidRDefault="00250D89" w:rsidP="00250D89">
    <w:pPr>
      <w:pStyle w:val="Zpat"/>
      <w:tabs>
        <w:tab w:val="left" w:pos="6663"/>
      </w:tabs>
      <w:spacing w:line="240" w:lineRule="atLeast"/>
      <w:rPr>
        <w:rFonts w:ascii="CG Omega" w:hAnsi="CG Omega"/>
        <w:color w:val="005FA4"/>
        <w:sz w:val="16"/>
      </w:rPr>
    </w:pPr>
    <w:r>
      <w:rPr>
        <w:rFonts w:ascii="CG Omega" w:hAnsi="CG Omega"/>
        <w:color w:val="005FA4"/>
        <w:sz w:val="16"/>
      </w:rPr>
      <w:t>Tel.: +420 225 279 111, Fax: +420 225 279 100</w:t>
    </w:r>
  </w:p>
  <w:p w:rsidR="00250D89" w:rsidRDefault="00250D89" w:rsidP="00250D89">
    <w:pPr>
      <w:pStyle w:val="Zpat"/>
      <w:tabs>
        <w:tab w:val="left" w:pos="6663"/>
      </w:tabs>
      <w:spacing w:line="240" w:lineRule="atLeast"/>
    </w:pPr>
    <w:r>
      <w:rPr>
        <w:rFonts w:ascii="CG Omega" w:hAnsi="CG Omega"/>
        <w:color w:val="005FA4"/>
        <w:sz w:val="16"/>
      </w:rPr>
      <w:t xml:space="preserve">e-mail: </w:t>
    </w:r>
    <w:proofErr w:type="spellStart"/>
    <w:r>
      <w:rPr>
        <w:rFonts w:ascii="CG Omega" w:hAnsi="CG Omega"/>
        <w:color w:val="005FA4"/>
        <w:sz w:val="16"/>
      </w:rPr>
      <w:t>spcr</w:t>
    </w:r>
    <w:proofErr w:type="spellEnd"/>
    <w:r>
      <w:rPr>
        <w:rFonts w:ascii="CG Omega" w:hAnsi="CG Omega"/>
        <w:color w:val="005FA4"/>
        <w:sz w:val="16"/>
      </w:rPr>
      <w:t>@spcr.cz, www.spcr.cz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DF" w:rsidRDefault="00D15FDF" w:rsidP="003E6A3A">
      <w:pPr>
        <w:spacing w:after="0" w:line="240" w:lineRule="auto"/>
      </w:pPr>
      <w:r>
        <w:separator/>
      </w:r>
    </w:p>
  </w:footnote>
  <w:footnote w:type="continuationSeparator" w:id="0">
    <w:p w:rsidR="00D15FDF" w:rsidRDefault="00D15FDF" w:rsidP="003E6A3A">
      <w:pPr>
        <w:spacing w:after="0" w:line="240" w:lineRule="auto"/>
      </w:pPr>
      <w:r>
        <w:continuationSeparator/>
      </w:r>
    </w:p>
  </w:footnote>
  <w:footnote w:id="1">
    <w:p w:rsidR="003E6A3A" w:rsidRDefault="003E6A3A">
      <w:pPr>
        <w:pStyle w:val="Textpoznpodarou"/>
      </w:pPr>
      <w:r>
        <w:rPr>
          <w:rStyle w:val="Znakapoznpodarou"/>
        </w:rPr>
        <w:footnoteRef/>
      </w:r>
      <w:r>
        <w:t xml:space="preserve"> Návrh rozpočtu pro rok 2016 počítá s cca 32,4 mld. Kč na „nákup služeb“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89" w:rsidRDefault="00250D89" w:rsidP="00250D89">
    <w:pPr>
      <w:pStyle w:val="Zhlav"/>
      <w:tabs>
        <w:tab w:val="clear" w:pos="4536"/>
        <w:tab w:val="left" w:pos="1134"/>
        <w:tab w:val="left" w:pos="6663"/>
      </w:tabs>
      <w:rPr>
        <w:rFonts w:cstheme="minorHAnsi"/>
        <w:color w:val="005FA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28575</wp:posOffset>
          </wp:positionV>
          <wp:extent cx="626110" cy="464820"/>
          <wp:effectExtent l="0" t="0" r="0" b="0"/>
          <wp:wrapNone/>
          <wp:docPr id="7" name="Obrázek 5" descr="Popis: sp2005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sp2005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G Omega" w:hAnsi="CG Omega" w:cs="Raavi"/>
        <w:color w:val="005FA4"/>
      </w:rPr>
      <w:tab/>
    </w:r>
    <w:r>
      <w:rPr>
        <w:rFonts w:cstheme="minorHAnsi"/>
        <w:color w:val="005FA4"/>
      </w:rPr>
      <w:t>Svaz průmyslu a dopravy České republiky</w:t>
    </w:r>
  </w:p>
  <w:p w:rsidR="00250D89" w:rsidRDefault="00250D89" w:rsidP="00250D89">
    <w:pPr>
      <w:pStyle w:val="Zhlav"/>
      <w:tabs>
        <w:tab w:val="clear" w:pos="4536"/>
        <w:tab w:val="left" w:pos="1134"/>
        <w:tab w:val="left" w:pos="6663"/>
      </w:tabs>
      <w:ind w:firstLine="1134"/>
      <w:rPr>
        <w:rFonts w:cstheme="minorHAnsi"/>
        <w:color w:val="005FA4"/>
      </w:rPr>
    </w:pPr>
    <w:proofErr w:type="spellStart"/>
    <w:r>
      <w:rPr>
        <w:rFonts w:cstheme="minorHAnsi"/>
        <w:color w:val="005FA4"/>
      </w:rPr>
      <w:t>Confederation</w:t>
    </w:r>
    <w:proofErr w:type="spellEnd"/>
    <w:r>
      <w:rPr>
        <w:rFonts w:cstheme="minorHAnsi"/>
        <w:color w:val="005FA4"/>
      </w:rPr>
      <w:t xml:space="preserve"> </w:t>
    </w:r>
    <w:proofErr w:type="spellStart"/>
    <w:r>
      <w:rPr>
        <w:rFonts w:cstheme="minorHAnsi"/>
        <w:color w:val="005FA4"/>
      </w:rPr>
      <w:t>of</w:t>
    </w:r>
    <w:proofErr w:type="spellEnd"/>
    <w:r>
      <w:rPr>
        <w:rFonts w:cstheme="minorHAnsi"/>
        <w:color w:val="005FA4"/>
      </w:rPr>
      <w:t xml:space="preserve"> </w:t>
    </w:r>
    <w:proofErr w:type="spellStart"/>
    <w:r>
      <w:rPr>
        <w:rFonts w:cstheme="minorHAnsi"/>
        <w:color w:val="005FA4"/>
      </w:rPr>
      <w:t>Industry</w:t>
    </w:r>
    <w:proofErr w:type="spellEnd"/>
    <w:r>
      <w:rPr>
        <w:rFonts w:cstheme="minorHAnsi"/>
        <w:color w:val="005FA4"/>
      </w:rPr>
      <w:t xml:space="preserve"> </w:t>
    </w:r>
    <w:proofErr w:type="spellStart"/>
    <w:r>
      <w:rPr>
        <w:rFonts w:cstheme="minorHAnsi"/>
        <w:color w:val="005FA4"/>
      </w:rPr>
      <w:t>of</w:t>
    </w:r>
    <w:proofErr w:type="spellEnd"/>
    <w:r>
      <w:rPr>
        <w:rFonts w:cstheme="minorHAnsi"/>
        <w:color w:val="005FA4"/>
      </w:rPr>
      <w:t xml:space="preserve"> </w:t>
    </w:r>
    <w:proofErr w:type="spellStart"/>
    <w:r>
      <w:rPr>
        <w:rFonts w:cstheme="minorHAnsi"/>
        <w:color w:val="005FA4"/>
      </w:rPr>
      <w:t>the</w:t>
    </w:r>
    <w:proofErr w:type="spellEnd"/>
    <w:r>
      <w:rPr>
        <w:rFonts w:cstheme="minorHAnsi"/>
        <w:color w:val="005FA4"/>
      </w:rPr>
      <w:t xml:space="preserve"> </w:t>
    </w:r>
    <w:proofErr w:type="spellStart"/>
    <w:r>
      <w:rPr>
        <w:rFonts w:cstheme="minorHAnsi"/>
        <w:color w:val="005FA4"/>
      </w:rPr>
      <w:t>Czech</w:t>
    </w:r>
    <w:proofErr w:type="spellEnd"/>
    <w:r>
      <w:rPr>
        <w:rFonts w:cstheme="minorHAnsi"/>
        <w:color w:val="005FA4"/>
      </w:rPr>
      <w:t xml:space="preserve"> </w:t>
    </w:r>
    <w:proofErr w:type="spellStart"/>
    <w:r>
      <w:rPr>
        <w:rFonts w:cstheme="minorHAnsi"/>
        <w:color w:val="005FA4"/>
      </w:rPr>
      <w:t>Republic</w:t>
    </w:r>
    <w:proofErr w:type="spellEnd"/>
  </w:p>
  <w:p w:rsidR="00250D89" w:rsidRDefault="00250D89" w:rsidP="00250D8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6AD98E"/>
    <w:lvl w:ilvl="0">
      <w:numFmt w:val="decimal"/>
      <w:lvlText w:val="*"/>
      <w:lvlJc w:val="left"/>
    </w:lvl>
  </w:abstractNum>
  <w:abstractNum w:abstractNumId="1">
    <w:nsid w:val="25B12524"/>
    <w:multiLevelType w:val="hybridMultilevel"/>
    <w:tmpl w:val="39861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826D2"/>
    <w:multiLevelType w:val="hybridMultilevel"/>
    <w:tmpl w:val="ED30D662"/>
    <w:lvl w:ilvl="0" w:tplc="A5AC2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02F9E"/>
    <w:multiLevelType w:val="hybridMultilevel"/>
    <w:tmpl w:val="8FEE094C"/>
    <w:lvl w:ilvl="0" w:tplc="E0C0DC1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075B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17E1F07"/>
    <w:multiLevelType w:val="hybridMultilevel"/>
    <w:tmpl w:val="E7E83C7E"/>
    <w:lvl w:ilvl="0" w:tplc="A1269EF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AE7BDD"/>
    <w:multiLevelType w:val="hybridMultilevel"/>
    <w:tmpl w:val="407E8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912"/>
    <w:rsid w:val="000B160E"/>
    <w:rsid w:val="000F4D3E"/>
    <w:rsid w:val="00132F49"/>
    <w:rsid w:val="00151C05"/>
    <w:rsid w:val="0015348F"/>
    <w:rsid w:val="0015541C"/>
    <w:rsid w:val="00157ABA"/>
    <w:rsid w:val="00193AEC"/>
    <w:rsid w:val="001D313F"/>
    <w:rsid w:val="001F0CEE"/>
    <w:rsid w:val="00250D89"/>
    <w:rsid w:val="002823BE"/>
    <w:rsid w:val="002921EC"/>
    <w:rsid w:val="00303B14"/>
    <w:rsid w:val="003218DE"/>
    <w:rsid w:val="003520FB"/>
    <w:rsid w:val="00352174"/>
    <w:rsid w:val="00375D86"/>
    <w:rsid w:val="003D2D5A"/>
    <w:rsid w:val="003D76DC"/>
    <w:rsid w:val="003E6A3A"/>
    <w:rsid w:val="003E752E"/>
    <w:rsid w:val="003F3EC1"/>
    <w:rsid w:val="004C58D7"/>
    <w:rsid w:val="005A3EA6"/>
    <w:rsid w:val="005C7A25"/>
    <w:rsid w:val="00631F1E"/>
    <w:rsid w:val="00640D2C"/>
    <w:rsid w:val="006470D3"/>
    <w:rsid w:val="00650CC1"/>
    <w:rsid w:val="00655EDB"/>
    <w:rsid w:val="00683C63"/>
    <w:rsid w:val="006E45F2"/>
    <w:rsid w:val="006E55EA"/>
    <w:rsid w:val="00710BD6"/>
    <w:rsid w:val="007152C4"/>
    <w:rsid w:val="00722F60"/>
    <w:rsid w:val="00760FCE"/>
    <w:rsid w:val="007846C9"/>
    <w:rsid w:val="00825CA2"/>
    <w:rsid w:val="008623EA"/>
    <w:rsid w:val="008A5430"/>
    <w:rsid w:val="0090174A"/>
    <w:rsid w:val="00903819"/>
    <w:rsid w:val="00923EEC"/>
    <w:rsid w:val="00986F92"/>
    <w:rsid w:val="00987636"/>
    <w:rsid w:val="00990A11"/>
    <w:rsid w:val="009A158B"/>
    <w:rsid w:val="009B17D1"/>
    <w:rsid w:val="009C2C94"/>
    <w:rsid w:val="00A275A2"/>
    <w:rsid w:val="00A45B36"/>
    <w:rsid w:val="00A67E45"/>
    <w:rsid w:val="00A71DA3"/>
    <w:rsid w:val="00A84912"/>
    <w:rsid w:val="00AA41A9"/>
    <w:rsid w:val="00AA659F"/>
    <w:rsid w:val="00B50C13"/>
    <w:rsid w:val="00B91DD5"/>
    <w:rsid w:val="00C32AC2"/>
    <w:rsid w:val="00C338A3"/>
    <w:rsid w:val="00C3431F"/>
    <w:rsid w:val="00C44EE8"/>
    <w:rsid w:val="00C738DC"/>
    <w:rsid w:val="00CE5C95"/>
    <w:rsid w:val="00CF5534"/>
    <w:rsid w:val="00D15154"/>
    <w:rsid w:val="00D15FDF"/>
    <w:rsid w:val="00D26258"/>
    <w:rsid w:val="00D67FC1"/>
    <w:rsid w:val="00DA1D77"/>
    <w:rsid w:val="00E118A3"/>
    <w:rsid w:val="00E94494"/>
    <w:rsid w:val="00EA3F0D"/>
    <w:rsid w:val="00EC560F"/>
    <w:rsid w:val="00EE1013"/>
    <w:rsid w:val="00EE35BC"/>
    <w:rsid w:val="00EF24DB"/>
    <w:rsid w:val="00F06398"/>
    <w:rsid w:val="00F47666"/>
    <w:rsid w:val="00F705B7"/>
    <w:rsid w:val="00F81263"/>
    <w:rsid w:val="00FA2F1B"/>
    <w:rsid w:val="00FA3CD6"/>
    <w:rsid w:val="00FA7EE9"/>
    <w:rsid w:val="00FC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4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ky">
    <w:name w:val="Popisky"/>
    <w:rsid w:val="009876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1D77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0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0BD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FA2F1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F1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6A3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6A3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6A3A"/>
    <w:rPr>
      <w:vertAlign w:val="superscript"/>
    </w:rPr>
  </w:style>
  <w:style w:type="paragraph" w:styleId="Zhlav">
    <w:name w:val="header"/>
    <w:basedOn w:val="Normln"/>
    <w:link w:val="ZhlavChar"/>
    <w:unhideWhenUsed/>
    <w:rsid w:val="0025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50D89"/>
  </w:style>
  <w:style w:type="paragraph" w:styleId="Zpat">
    <w:name w:val="footer"/>
    <w:basedOn w:val="Normln"/>
    <w:link w:val="ZpatChar"/>
    <w:unhideWhenUsed/>
    <w:rsid w:val="0025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5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ky">
    <w:name w:val="Popisky"/>
    <w:rsid w:val="009876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1D77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0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0BD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FA2F1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70561-82F1-43B7-A2C1-00A5B34D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1832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Bohuslav Cizek</dc:creator>
  <cp:lastModifiedBy>Bohuslav Cizek</cp:lastModifiedBy>
  <cp:revision>4</cp:revision>
  <cp:lastPrinted>2015-09-15T14:32:00Z</cp:lastPrinted>
  <dcterms:created xsi:type="dcterms:W3CDTF">2015-09-16T13:07:00Z</dcterms:created>
  <dcterms:modified xsi:type="dcterms:W3CDTF">2015-09-16T14:00:00Z</dcterms:modified>
</cp:coreProperties>
</file>