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829" w:rsidRPr="00E779E8" w:rsidRDefault="00564418">
      <w:r w:rsidRPr="00E779E8">
        <w:rPr>
          <w:noProof/>
          <w:lang w:eastAsia="cs-CZ"/>
        </w:rPr>
        <w:drawing>
          <wp:inline distT="0" distB="0" distL="0" distR="0" wp14:anchorId="41B2852E" wp14:editId="78ABFFA9">
            <wp:extent cx="3092450" cy="984250"/>
            <wp:effectExtent l="0" t="0" r="0" b="6350"/>
            <wp:docPr id="2" name="Obrázek 2" descr="SP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C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2450" cy="984250"/>
                    </a:xfrm>
                    <a:prstGeom prst="rect">
                      <a:avLst/>
                    </a:prstGeom>
                    <a:noFill/>
                    <a:ln>
                      <a:noFill/>
                    </a:ln>
                  </pic:spPr>
                </pic:pic>
              </a:graphicData>
            </a:graphic>
          </wp:inline>
        </w:drawing>
      </w:r>
    </w:p>
    <w:tbl>
      <w:tblPr>
        <w:tblW w:w="0" w:type="auto"/>
        <w:tblBorders>
          <w:top w:val="single" w:sz="4" w:space="0" w:color="0093D6"/>
          <w:left w:val="single" w:sz="4" w:space="0" w:color="0093D6"/>
          <w:bottom w:val="single" w:sz="4" w:space="0" w:color="0093D6"/>
          <w:right w:val="single" w:sz="4" w:space="0" w:color="0093D6"/>
          <w:insideH w:val="single" w:sz="4" w:space="0" w:color="0093D6"/>
          <w:insideV w:val="single" w:sz="4" w:space="0" w:color="0093D6"/>
        </w:tblBorders>
        <w:tblLook w:val="04A0" w:firstRow="1" w:lastRow="0" w:firstColumn="1" w:lastColumn="0" w:noHBand="0" w:noVBand="1"/>
      </w:tblPr>
      <w:tblGrid>
        <w:gridCol w:w="2173"/>
        <w:gridCol w:w="6889"/>
      </w:tblGrid>
      <w:tr w:rsidR="00564418" w:rsidRPr="00E779E8" w:rsidTr="00D66012">
        <w:tc>
          <w:tcPr>
            <w:tcW w:w="2173" w:type="dxa"/>
            <w:vAlign w:val="center"/>
          </w:tcPr>
          <w:p w:rsidR="00564418" w:rsidRPr="00E779E8" w:rsidRDefault="00564418" w:rsidP="00D66012">
            <w:pPr>
              <w:spacing w:after="0" w:line="240" w:lineRule="auto"/>
              <w:rPr>
                <w:rFonts w:cs="Calibri"/>
              </w:rPr>
            </w:pPr>
            <w:r w:rsidRPr="00E779E8">
              <w:rPr>
                <w:rFonts w:cs="Calibri"/>
                <w:color w:val="0093D6"/>
              </w:rPr>
              <w:t>NÁZEV AKCE</w:t>
            </w:r>
          </w:p>
        </w:tc>
        <w:tc>
          <w:tcPr>
            <w:tcW w:w="6889" w:type="dxa"/>
            <w:shd w:val="clear" w:color="auto" w:fill="auto"/>
            <w:vAlign w:val="center"/>
          </w:tcPr>
          <w:p w:rsidR="00564418" w:rsidRPr="00E779E8" w:rsidRDefault="00564418" w:rsidP="00D66012">
            <w:pPr>
              <w:spacing w:after="0" w:line="240" w:lineRule="auto"/>
              <w:jc w:val="both"/>
              <w:rPr>
                <w:rFonts w:cs="Calibri"/>
                <w:b/>
                <w:bCs/>
              </w:rPr>
            </w:pPr>
            <w:r w:rsidRPr="00E779E8">
              <w:rPr>
                <w:rFonts w:cs="Calibri"/>
                <w:b/>
                <w:bCs/>
              </w:rPr>
              <w:t>Stanovisko SPĆR</w:t>
            </w:r>
            <w:r w:rsidRPr="00E779E8">
              <w:rPr>
                <w:rFonts w:cs="Calibri"/>
                <w:b/>
                <w:bCs/>
              </w:rPr>
              <w:t xml:space="preserve"> k návrhům EK na zlepšení kvality stáží v eU</w:t>
            </w:r>
          </w:p>
        </w:tc>
      </w:tr>
      <w:tr w:rsidR="00564418" w:rsidRPr="00E779E8" w:rsidTr="00D66012">
        <w:tc>
          <w:tcPr>
            <w:tcW w:w="2173" w:type="dxa"/>
            <w:vAlign w:val="center"/>
          </w:tcPr>
          <w:p w:rsidR="00564418" w:rsidRPr="00E779E8" w:rsidRDefault="00564418" w:rsidP="00D66012">
            <w:pPr>
              <w:spacing w:after="0" w:line="240" w:lineRule="auto"/>
              <w:rPr>
                <w:rFonts w:cs="Calibri"/>
              </w:rPr>
            </w:pPr>
            <w:r w:rsidRPr="00E779E8">
              <w:rPr>
                <w:rFonts w:cs="Calibri"/>
                <w:color w:val="0093D6"/>
              </w:rPr>
              <w:t>DATUM ZPRACOVÁNÍ</w:t>
            </w:r>
          </w:p>
        </w:tc>
        <w:tc>
          <w:tcPr>
            <w:tcW w:w="6889" w:type="dxa"/>
            <w:vAlign w:val="center"/>
          </w:tcPr>
          <w:p w:rsidR="00564418" w:rsidRPr="00E779E8" w:rsidRDefault="00564418" w:rsidP="00D66012">
            <w:pPr>
              <w:spacing w:after="0" w:line="240" w:lineRule="auto"/>
              <w:rPr>
                <w:rFonts w:cs="Calibri"/>
                <w:bCs/>
              </w:rPr>
            </w:pPr>
            <w:r w:rsidRPr="00E779E8">
              <w:rPr>
                <w:rFonts w:cs="Calibri"/>
                <w:bCs/>
              </w:rPr>
              <w:t>11. 7</w:t>
            </w:r>
            <w:r w:rsidRPr="00E779E8">
              <w:rPr>
                <w:rFonts w:cs="Calibri"/>
                <w:bCs/>
              </w:rPr>
              <w:t>.2024</w:t>
            </w:r>
          </w:p>
        </w:tc>
      </w:tr>
      <w:tr w:rsidR="00564418" w:rsidRPr="00E779E8" w:rsidTr="00D66012">
        <w:tc>
          <w:tcPr>
            <w:tcW w:w="2173" w:type="dxa"/>
            <w:shd w:val="clear" w:color="auto" w:fill="auto"/>
            <w:vAlign w:val="center"/>
          </w:tcPr>
          <w:p w:rsidR="00564418" w:rsidRPr="00E779E8" w:rsidRDefault="00564418" w:rsidP="00D66012">
            <w:pPr>
              <w:spacing w:after="0" w:line="240" w:lineRule="auto"/>
              <w:rPr>
                <w:rFonts w:cs="Calibri"/>
                <w:color w:val="0093D6"/>
              </w:rPr>
            </w:pPr>
            <w:r w:rsidRPr="00E779E8">
              <w:rPr>
                <w:rFonts w:cs="Calibri"/>
                <w:color w:val="0093D6"/>
              </w:rPr>
              <w:t>KONTAKTNÍ OSOBA</w:t>
            </w:r>
          </w:p>
        </w:tc>
        <w:tc>
          <w:tcPr>
            <w:tcW w:w="6889" w:type="dxa"/>
            <w:shd w:val="clear" w:color="auto" w:fill="auto"/>
            <w:vAlign w:val="center"/>
          </w:tcPr>
          <w:p w:rsidR="00564418" w:rsidRPr="00E779E8" w:rsidRDefault="00564418" w:rsidP="00D66012">
            <w:pPr>
              <w:spacing w:after="0" w:line="240" w:lineRule="auto"/>
              <w:rPr>
                <w:rFonts w:cs="Calibri"/>
              </w:rPr>
            </w:pPr>
            <w:r w:rsidRPr="00E779E8">
              <w:rPr>
                <w:rFonts w:cs="Calibri"/>
              </w:rPr>
              <w:t>Ing. Vladimíra Drbalová, porad</w:t>
            </w:r>
            <w:r w:rsidR="00E779E8">
              <w:rPr>
                <w:rFonts w:cs="Calibri"/>
              </w:rPr>
              <w:t>kyně pro E</w:t>
            </w:r>
            <w:r w:rsidRPr="00E779E8">
              <w:rPr>
                <w:rFonts w:cs="Calibri"/>
              </w:rPr>
              <w:t>U záležitosti a mezinárodní organizace</w:t>
            </w:r>
            <w:r w:rsidR="00E779E8">
              <w:rPr>
                <w:rFonts w:cs="Calibri"/>
              </w:rPr>
              <w:t xml:space="preserve"> (</w:t>
            </w:r>
            <w:r w:rsidRPr="00E779E8">
              <w:rPr>
                <w:rFonts w:cs="Calibri"/>
              </w:rPr>
              <w:t>vdrbalova</w:t>
            </w:r>
            <w:r w:rsidRPr="00E779E8">
              <w:rPr>
                <w:rFonts w:cs="Calibri"/>
                <w:lang w:val="en-US"/>
              </w:rPr>
              <w:t>@</w:t>
            </w:r>
            <w:r w:rsidRPr="00E779E8">
              <w:rPr>
                <w:rFonts w:cs="Calibri"/>
              </w:rPr>
              <w:t>spcr.cz</w:t>
            </w:r>
            <w:r w:rsidR="00E779E8">
              <w:rPr>
                <w:rFonts w:cs="Calibri"/>
              </w:rPr>
              <w:t>)</w:t>
            </w:r>
          </w:p>
        </w:tc>
      </w:tr>
    </w:tbl>
    <w:p w:rsidR="007D7932" w:rsidRDefault="007D7932">
      <w:pPr>
        <w:rPr>
          <w:rFonts w:ascii="Arial" w:eastAsia="Times New Roman" w:hAnsi="Arial" w:cs="Arial"/>
        </w:rPr>
      </w:pPr>
    </w:p>
    <w:p w:rsidR="00797CE1" w:rsidRPr="00797CE1" w:rsidRDefault="00797CE1">
      <w:pPr>
        <w:rPr>
          <w:rFonts w:eastAsia="Times New Roman" w:cs="Arial"/>
          <w:b/>
          <w:color w:val="0070C0"/>
        </w:rPr>
      </w:pPr>
      <w:r>
        <w:rPr>
          <w:rFonts w:eastAsia="Times New Roman" w:cs="Arial"/>
          <w:b/>
          <w:color w:val="0070C0"/>
        </w:rPr>
        <w:t>Klíčová</w:t>
      </w:r>
      <w:bookmarkStart w:id="0" w:name="_GoBack"/>
      <w:bookmarkEnd w:id="0"/>
      <w:r w:rsidRPr="00797CE1">
        <w:rPr>
          <w:rFonts w:eastAsia="Times New Roman" w:cs="Arial"/>
          <w:b/>
          <w:color w:val="0070C0"/>
        </w:rPr>
        <w:t xml:space="preserve"> prohlášení</w:t>
      </w:r>
    </w:p>
    <w:p w:rsidR="00B10155" w:rsidRDefault="00E779E8" w:rsidP="00B10155">
      <w:pPr>
        <w:pStyle w:val="Odstavecseseznamem"/>
        <w:numPr>
          <w:ilvl w:val="0"/>
          <w:numId w:val="1"/>
        </w:numPr>
        <w:jc w:val="both"/>
        <w:rPr>
          <w:rFonts w:eastAsia="Times New Roman" w:cstheme="minorHAnsi"/>
        </w:rPr>
      </w:pPr>
      <w:r>
        <w:rPr>
          <w:rFonts w:eastAsia="Times New Roman" w:cstheme="minorHAnsi"/>
        </w:rPr>
        <w:t xml:space="preserve">SPČR od počátku nepodporoval volbu směrnice jako vhodného nástroje. </w:t>
      </w:r>
      <w:r w:rsidRPr="00E779E8">
        <w:rPr>
          <w:rFonts w:eastAsia="Times New Roman" w:cstheme="minorHAnsi"/>
          <w:b/>
        </w:rPr>
        <w:t>Samotné posílení stávajícího D</w:t>
      </w:r>
      <w:r w:rsidR="007D7932" w:rsidRPr="00E779E8">
        <w:rPr>
          <w:rFonts w:eastAsia="Times New Roman" w:cstheme="minorHAnsi"/>
          <w:b/>
        </w:rPr>
        <w:t>oporučení Rady by stačilo k vyřešení vnímaných problémů týkajících se kvality stáží v EU,</w:t>
      </w:r>
      <w:r w:rsidR="007D7932" w:rsidRPr="00B10155">
        <w:rPr>
          <w:rFonts w:eastAsia="Times New Roman" w:cstheme="minorHAnsi"/>
        </w:rPr>
        <w:t xml:space="preserve"> zejména s ohledem na všeobecně uznávaný nedostatek údajů o stážích na volném trhu a omezenou základnu důkazů pro návrh.</w:t>
      </w:r>
    </w:p>
    <w:p w:rsidR="00B10155" w:rsidRPr="00B10155" w:rsidRDefault="00E33466" w:rsidP="00B10155">
      <w:pPr>
        <w:pStyle w:val="Odstavecseseznamem"/>
        <w:numPr>
          <w:ilvl w:val="0"/>
          <w:numId w:val="1"/>
        </w:numPr>
        <w:jc w:val="both"/>
        <w:rPr>
          <w:rFonts w:eastAsia="Times New Roman" w:cstheme="minorHAnsi"/>
        </w:rPr>
      </w:pPr>
      <w:r>
        <w:rPr>
          <w:rFonts w:eastAsia="Times New Roman" w:cstheme="minorHAnsi"/>
          <w:b/>
        </w:rPr>
        <w:t>J</w:t>
      </w:r>
      <w:r w:rsidR="00B10155" w:rsidRPr="00B10155">
        <w:rPr>
          <w:rFonts w:eastAsia="Times New Roman" w:cstheme="minorHAnsi"/>
          <w:b/>
        </w:rPr>
        <w:t>e třeba provést významné změ</w:t>
      </w:r>
      <w:r w:rsidR="00E779E8">
        <w:rPr>
          <w:rFonts w:eastAsia="Times New Roman" w:cstheme="minorHAnsi"/>
          <w:b/>
        </w:rPr>
        <w:t>ny ve stávajícím návrhu směrnice</w:t>
      </w:r>
      <w:r w:rsidR="00B10155">
        <w:rPr>
          <w:rFonts w:eastAsia="Times New Roman" w:cstheme="minorHAnsi"/>
        </w:rPr>
        <w:t xml:space="preserve"> </w:t>
      </w:r>
      <w:r w:rsidR="00B10155" w:rsidRPr="00B10155">
        <w:rPr>
          <w:rFonts w:eastAsia="Times New Roman" w:cstheme="minorHAnsi"/>
        </w:rPr>
        <w:t xml:space="preserve">tak, aby byl jasněji srozumitelný a </w:t>
      </w:r>
      <w:r w:rsidR="00B10155" w:rsidRPr="00E779E8">
        <w:rPr>
          <w:rFonts w:eastAsia="Times New Roman" w:cstheme="minorHAnsi"/>
          <w:b/>
        </w:rPr>
        <w:t xml:space="preserve">proveditelný na národní úrovni způsobem, </w:t>
      </w:r>
      <w:r w:rsidR="00E779E8">
        <w:rPr>
          <w:rFonts w:eastAsia="Times New Roman" w:cstheme="minorHAnsi"/>
          <w:b/>
        </w:rPr>
        <w:t>který zaměstnavatele nezatíží</w:t>
      </w:r>
      <w:r w:rsidR="00B10155" w:rsidRPr="00E779E8">
        <w:rPr>
          <w:rFonts w:eastAsia="Times New Roman" w:cstheme="minorHAnsi"/>
          <w:b/>
        </w:rPr>
        <w:t xml:space="preserve"> nadměrnou a zbytečnou administrativní zátěž</w:t>
      </w:r>
      <w:r w:rsidR="00B10155" w:rsidRPr="00B10155">
        <w:rPr>
          <w:rFonts w:eastAsia="Times New Roman" w:cstheme="minorHAnsi"/>
        </w:rPr>
        <w:t xml:space="preserve">. To by mělo začít tím, že se ujasní, že návrh se vztahuje pouze na stáže na volném trhu. Povinné stáže a stáže, které slouží jako kariérové ​​poradenství a vzdělávání v rámci odborné přípravy a studia, by měly být ze směrnice vyloučeny. </w:t>
      </w:r>
      <w:r w:rsidR="00B10155" w:rsidRPr="0097597E">
        <w:rPr>
          <w:rFonts w:eastAsia="Times New Roman" w:cstheme="minorHAnsi"/>
          <w:b/>
        </w:rPr>
        <w:t>Kromě toho je třeba lépe zohlednit zvláštnosti členských států</w:t>
      </w:r>
      <w:r w:rsidR="0097597E">
        <w:rPr>
          <w:rStyle w:val="Znakapoznpodarou"/>
          <w:rFonts w:eastAsia="Times New Roman" w:cstheme="minorHAnsi"/>
          <w:b/>
        </w:rPr>
        <w:footnoteReference w:id="1"/>
      </w:r>
      <w:r w:rsidR="00B10155" w:rsidRPr="00B10155">
        <w:rPr>
          <w:rFonts w:eastAsia="Times New Roman" w:cstheme="minorHAnsi"/>
        </w:rPr>
        <w:t xml:space="preserve"> v organizaci a právní struktuře stáží, tj. zda stáž probíhá v rámci pracovního poměru, či nikoli, a předpisy o ochraně stážistů, které již platí.</w:t>
      </w:r>
    </w:p>
    <w:p w:rsidR="00B10155" w:rsidRPr="00B10155" w:rsidRDefault="00B10155" w:rsidP="00B10155">
      <w:pPr>
        <w:pStyle w:val="Odstavecseseznamem"/>
        <w:numPr>
          <w:ilvl w:val="0"/>
          <w:numId w:val="1"/>
        </w:numPr>
        <w:jc w:val="both"/>
        <w:rPr>
          <w:rFonts w:eastAsia="Times New Roman" w:cstheme="minorHAnsi"/>
          <w:b/>
        </w:rPr>
      </w:pPr>
      <w:r w:rsidRPr="00B10155">
        <w:rPr>
          <w:rFonts w:eastAsia="Times New Roman" w:cstheme="minorHAnsi"/>
          <w:b/>
        </w:rPr>
        <w:t>Návrh musí lépe zohledňovat úlohu a autonomii sociálních partnerů tím, že jasně stanoví, že sociální partneři mají prostor pro vyjednávání řešení</w:t>
      </w:r>
      <w:r w:rsidRPr="00B10155">
        <w:rPr>
          <w:rFonts w:eastAsia="Times New Roman" w:cstheme="minorHAnsi"/>
        </w:rPr>
        <w:t xml:space="preserve">, která považují za nejvhodnější pro stážisty, na všech vhodných úrovních, včetně </w:t>
      </w:r>
      <w:r w:rsidRPr="00B10155">
        <w:rPr>
          <w:rFonts w:eastAsia="Times New Roman" w:cstheme="minorHAnsi"/>
          <w:b/>
        </w:rPr>
        <w:t>možnosti odchýlit se od směrnice společným stanovením pracovní podmínky pro stážisty v případě stáží, které spadají pod pracovní smlouvu.</w:t>
      </w:r>
    </w:p>
    <w:p w:rsidR="00B10155" w:rsidRPr="00B10155" w:rsidRDefault="00B10155" w:rsidP="00B10155">
      <w:pPr>
        <w:jc w:val="both"/>
        <w:rPr>
          <w:rFonts w:eastAsia="Times New Roman" w:cstheme="minorHAnsi"/>
        </w:rPr>
      </w:pPr>
      <w:r w:rsidRPr="00E33466">
        <w:rPr>
          <w:rFonts w:eastAsia="Times New Roman" w:cstheme="minorHAnsi"/>
          <w:b/>
          <w:color w:val="0070C0"/>
        </w:rPr>
        <w:t>Jaká je představa zaměstnavatelů</w:t>
      </w:r>
      <w:r>
        <w:rPr>
          <w:rFonts w:eastAsia="Times New Roman" w:cstheme="minorHAnsi"/>
        </w:rPr>
        <w:t>:</w:t>
      </w:r>
    </w:p>
    <w:p w:rsidR="00E33466" w:rsidRPr="00B10155" w:rsidRDefault="00E33466" w:rsidP="00E33466">
      <w:pPr>
        <w:pStyle w:val="Odstavecseseznamem"/>
        <w:numPr>
          <w:ilvl w:val="0"/>
          <w:numId w:val="1"/>
        </w:numPr>
        <w:jc w:val="both"/>
        <w:rPr>
          <w:rFonts w:eastAsia="Times New Roman" w:cstheme="minorHAnsi"/>
          <w:b/>
        </w:rPr>
      </w:pPr>
      <w:r w:rsidRPr="00B10155">
        <w:rPr>
          <w:rFonts w:eastAsia="Times New Roman" w:cstheme="minorHAnsi"/>
        </w:rPr>
        <w:t xml:space="preserve">Poskytování stáží, které se zaměřují </w:t>
      </w:r>
      <w:r w:rsidRPr="00B10155">
        <w:rPr>
          <w:rFonts w:eastAsia="Times New Roman" w:cstheme="minorHAnsi"/>
          <w:b/>
        </w:rPr>
        <w:t xml:space="preserve">na výsledky učení s cílem zlepšit zaměstnatelnost a vyhlídky stážistů v celé EU. Na národní úrovni musí existovat praktický, realistický a srozumitelný rámec, který zaměstnavatelům nepřinese nadměrnou a zbytečnou administrativní zátěž. </w:t>
      </w:r>
    </w:p>
    <w:p w:rsidR="00E33466" w:rsidRPr="00E33466" w:rsidRDefault="00E33466" w:rsidP="00E33466">
      <w:pPr>
        <w:pStyle w:val="Odstavecseseznamem"/>
        <w:numPr>
          <w:ilvl w:val="0"/>
          <w:numId w:val="1"/>
        </w:numPr>
        <w:jc w:val="both"/>
        <w:rPr>
          <w:rFonts w:eastAsia="Times New Roman" w:cstheme="minorHAnsi"/>
        </w:rPr>
      </w:pPr>
      <w:r w:rsidRPr="00B10155">
        <w:rPr>
          <w:rFonts w:eastAsia="Times New Roman" w:cstheme="minorHAnsi"/>
          <w:b/>
        </w:rPr>
        <w:t xml:space="preserve">Vhodný regulační kontext, kde systémy již regulované prostřednictvím třetích stran, jako jsou kolektivní smlouvy nebo vnitrostátní právo, nejsou vázány novými regulačními </w:t>
      </w:r>
      <w:r w:rsidRPr="00B10155">
        <w:rPr>
          <w:rFonts w:eastAsia="Times New Roman" w:cstheme="minorHAnsi"/>
          <w:b/>
        </w:rPr>
        <w:lastRenderedPageBreak/>
        <w:t>požadavky a zátěží.</w:t>
      </w:r>
      <w:r w:rsidRPr="00B10155">
        <w:rPr>
          <w:rFonts w:eastAsia="Times New Roman" w:cstheme="minorHAnsi"/>
        </w:rPr>
        <w:t xml:space="preserve"> Respektuje tím vnitrostátní pravomoci a </w:t>
      </w:r>
      <w:r w:rsidRPr="00B10155">
        <w:rPr>
          <w:rFonts w:eastAsia="Times New Roman" w:cstheme="minorHAnsi"/>
          <w:b/>
        </w:rPr>
        <w:t>zohledňuje úlohu sociálních partnerů v konte</w:t>
      </w:r>
      <w:r>
        <w:rPr>
          <w:rFonts w:eastAsia="Times New Roman" w:cstheme="minorHAnsi"/>
          <w:b/>
        </w:rPr>
        <w:t xml:space="preserve">xtu </w:t>
      </w:r>
      <w:r w:rsidR="0097597E">
        <w:rPr>
          <w:rFonts w:eastAsia="Times New Roman" w:cstheme="minorHAnsi"/>
          <w:b/>
        </w:rPr>
        <w:t>různých systémů pracovně právní</w:t>
      </w:r>
      <w:r>
        <w:rPr>
          <w:rFonts w:eastAsia="Times New Roman" w:cstheme="minorHAnsi"/>
          <w:b/>
        </w:rPr>
        <w:t>ch</w:t>
      </w:r>
      <w:r w:rsidRPr="00B10155">
        <w:rPr>
          <w:rFonts w:eastAsia="Times New Roman" w:cstheme="minorHAnsi"/>
          <w:b/>
        </w:rPr>
        <w:t xml:space="preserve"> vztahů</w:t>
      </w:r>
      <w:r w:rsidRPr="00B10155">
        <w:rPr>
          <w:rFonts w:eastAsia="Times New Roman" w:cstheme="minorHAnsi"/>
        </w:rPr>
        <w:t xml:space="preserve"> a postupů vzdělávání a odborné přípravy v celé EU.</w:t>
      </w:r>
    </w:p>
    <w:p w:rsidR="00E33466" w:rsidRPr="00E33466" w:rsidRDefault="00E33466" w:rsidP="00E33466">
      <w:pPr>
        <w:jc w:val="both"/>
        <w:rPr>
          <w:rFonts w:eastAsia="Times New Roman" w:cstheme="minorHAnsi"/>
          <w:b/>
          <w:color w:val="0070C0"/>
        </w:rPr>
      </w:pPr>
      <w:r w:rsidRPr="00E33466">
        <w:rPr>
          <w:rFonts w:eastAsia="Times New Roman" w:cstheme="minorHAnsi"/>
          <w:b/>
          <w:color w:val="0070C0"/>
        </w:rPr>
        <w:t>Obecné připomínky</w:t>
      </w:r>
    </w:p>
    <w:p w:rsidR="00E33466" w:rsidRDefault="00E33466" w:rsidP="00E33466">
      <w:pPr>
        <w:pStyle w:val="Odstavecseseznamem"/>
        <w:numPr>
          <w:ilvl w:val="0"/>
          <w:numId w:val="1"/>
        </w:numPr>
        <w:jc w:val="both"/>
        <w:rPr>
          <w:rFonts w:eastAsia="Times New Roman" w:cstheme="minorHAnsi"/>
        </w:rPr>
      </w:pPr>
      <w:r w:rsidRPr="0097597E">
        <w:rPr>
          <w:rFonts w:eastAsia="Times New Roman" w:cstheme="minorHAnsi"/>
          <w:b/>
        </w:rPr>
        <w:t>Je důležité zdůraznit, že zaměstnavatelé považují všechny stáže, ať už součástí vzdělání nebo odborné kvalifikace, nebo stáže, které jsou na volném trhu nebo jsou poskytovány jako součást aktivní politiky trhu práce, za primární odpovědnost za rozvoj dovedností při poskytování pracovních příležitostí.</w:t>
      </w:r>
      <w:r w:rsidRPr="00E33466">
        <w:rPr>
          <w:rFonts w:eastAsia="Times New Roman" w:cstheme="minorHAnsi"/>
        </w:rPr>
        <w:t xml:space="preserve"> Zkušenosti. Někter</w:t>
      </w:r>
      <w:r w:rsidR="0097597E">
        <w:rPr>
          <w:rFonts w:eastAsia="Times New Roman" w:cstheme="minorHAnsi"/>
        </w:rPr>
        <w:t>é z nich jsou navíc informativními</w:t>
      </w:r>
      <w:r w:rsidRPr="00E33466">
        <w:rPr>
          <w:rFonts w:eastAsia="Times New Roman" w:cstheme="minorHAnsi"/>
        </w:rPr>
        <w:t xml:space="preserve"> stážemi pro žáky povinné školní docházky, které jim umožňují objevit řemeslo. </w:t>
      </w:r>
    </w:p>
    <w:p w:rsidR="00E33466" w:rsidRDefault="00E33466" w:rsidP="00E33466">
      <w:pPr>
        <w:pStyle w:val="Odstavecseseznamem"/>
        <w:numPr>
          <w:ilvl w:val="0"/>
          <w:numId w:val="1"/>
        </w:numPr>
        <w:jc w:val="both"/>
        <w:rPr>
          <w:rFonts w:eastAsia="Times New Roman" w:cstheme="minorHAnsi"/>
        </w:rPr>
      </w:pPr>
      <w:r w:rsidRPr="0097597E">
        <w:rPr>
          <w:rFonts w:eastAsia="Times New Roman" w:cstheme="minorHAnsi"/>
          <w:b/>
        </w:rPr>
        <w:t>Ve většině případů poskytují stáže první pracovní zkušenost</w:t>
      </w:r>
      <w:r w:rsidRPr="00E33466">
        <w:rPr>
          <w:rFonts w:eastAsia="Times New Roman" w:cstheme="minorHAnsi"/>
        </w:rPr>
        <w:t>. Mohou se také konat jako součást perspektivy rekvalifikace. Účelem stáže je však poskytnout dovednosti, které zvýší zaměstnatelnost jednotlivce a zlepší jeho vyhlídky na zaměstnání</w:t>
      </w:r>
      <w:r w:rsidRPr="0097597E">
        <w:rPr>
          <w:rFonts w:eastAsia="Times New Roman" w:cstheme="minorHAnsi"/>
          <w:b/>
        </w:rPr>
        <w:t xml:space="preserve">. Jako takové lze všechny stáže považovat za součást vzdělávací zkušenosti. </w:t>
      </w:r>
      <w:r w:rsidRPr="00E33466">
        <w:rPr>
          <w:rFonts w:eastAsia="Times New Roman" w:cstheme="minorHAnsi"/>
        </w:rPr>
        <w:t xml:space="preserve">I když se situace může v jednotlivých členských státech lišit, stážisté obvykle nejsou běžnými zaměstnanci. </w:t>
      </w:r>
    </w:p>
    <w:p w:rsidR="00E33466" w:rsidRPr="0097597E" w:rsidRDefault="00E33466" w:rsidP="0097597E">
      <w:pPr>
        <w:pStyle w:val="Odstavecseseznamem"/>
        <w:numPr>
          <w:ilvl w:val="0"/>
          <w:numId w:val="1"/>
        </w:numPr>
        <w:jc w:val="both"/>
        <w:rPr>
          <w:rFonts w:eastAsia="Times New Roman" w:cstheme="minorHAnsi"/>
        </w:rPr>
      </w:pPr>
      <w:r w:rsidRPr="00E33466">
        <w:rPr>
          <w:rFonts w:eastAsia="Times New Roman" w:cstheme="minorHAnsi"/>
        </w:rPr>
        <w:t xml:space="preserve"> V mnoha případech </w:t>
      </w:r>
      <w:r w:rsidRPr="0097597E">
        <w:rPr>
          <w:rFonts w:eastAsia="Times New Roman" w:cstheme="minorHAnsi"/>
          <w:b/>
        </w:rPr>
        <w:t>stáže také pomáhají poskytovat profesní orientaci a měly by být chápány jako způsob, jak mohou mladí lidé z první ruky získat náhled na to, jaké to je na konkrétním pracovišti nebo v konkrétním prostředí.</w:t>
      </w:r>
      <w:r w:rsidR="0097597E">
        <w:rPr>
          <w:rFonts w:eastAsia="Times New Roman" w:cstheme="minorHAnsi"/>
        </w:rPr>
        <w:t xml:space="preserve"> T</w:t>
      </w:r>
      <w:r w:rsidRPr="00E33466">
        <w:rPr>
          <w:rFonts w:eastAsia="Times New Roman" w:cstheme="minorHAnsi"/>
        </w:rPr>
        <w:t>ato forma pracovních zkušeností poskytuje mladým lidem možnost vyzkoušet si několik různých povolání, což jim může pomoci činit informovaná rozhodnutí o jejich budoucí profesní dráze a zároveň zlepšit jejich vyhlídky na zaměstnání. To je zejména případ, kdy stáže probíhají jako součást formálního vzdělávacího procesu a je třeba podporovat možnosti takových stáží a zapojení podniků.</w:t>
      </w:r>
    </w:p>
    <w:p w:rsidR="00E33466" w:rsidRPr="003B3EB1" w:rsidRDefault="003B3EB1" w:rsidP="00E33466">
      <w:pPr>
        <w:pStyle w:val="Odstavecseseznamem"/>
        <w:numPr>
          <w:ilvl w:val="0"/>
          <w:numId w:val="1"/>
        </w:numPr>
        <w:jc w:val="both"/>
        <w:rPr>
          <w:rFonts w:eastAsia="Times New Roman" w:cstheme="minorHAnsi"/>
          <w:b/>
        </w:rPr>
      </w:pPr>
      <w:r w:rsidRPr="003B3EB1">
        <w:rPr>
          <w:rFonts w:eastAsia="Times New Roman" w:cstheme="minorHAnsi"/>
          <w:b/>
        </w:rPr>
        <w:t xml:space="preserve">V textu návrhu bude třeba přepracovat </w:t>
      </w:r>
      <w:r w:rsidR="00E33466" w:rsidRPr="003B3EB1">
        <w:rPr>
          <w:rFonts w:eastAsia="Times New Roman" w:cstheme="minorHAnsi"/>
          <w:b/>
        </w:rPr>
        <w:t>řadu aspektů, aby se předešlo nezamýšleným následkům odrazování zaměstnavatelů od nabídky stáží, což by poškodilo vyhlídky mladých lidí na získání životně důležitých pracovních zkušeností</w:t>
      </w:r>
      <w:r w:rsidR="00E33466" w:rsidRPr="00E33466">
        <w:rPr>
          <w:rFonts w:eastAsia="Times New Roman" w:cstheme="minorHAnsi"/>
        </w:rPr>
        <w:t xml:space="preserve">. Návrh směrnice by měl dopad na regulaci stáží, které jsou poskytovány v rámci systémů sociálních dávek, jako je podpora integrace uprchlíků a jiných migrantů, a které jsou již regulovány kolektivními smlouvami nebo vnitrostátním právem. To by mohlo vést k jakési „dvojí regulaci“ těchto režimů, což poškodí vhodnost těchto režimů. </w:t>
      </w:r>
      <w:r w:rsidR="00E33466" w:rsidRPr="003B3EB1">
        <w:rPr>
          <w:rFonts w:eastAsia="Times New Roman" w:cstheme="minorHAnsi"/>
          <w:b/>
        </w:rPr>
        <w:t>Kladení zvýšené regulační zátěže na zaměstnavatele účastnící se těchto programů, které jsou již dobře regulovány třetími stranami, je škodlivé a bez přidané hodnoty. Místo toho by měla být podporována účast zaměstnavatelů.</w:t>
      </w:r>
    </w:p>
    <w:p w:rsidR="00C71F57" w:rsidRPr="00C71F57" w:rsidRDefault="00C71F57" w:rsidP="00C71F57">
      <w:pPr>
        <w:pStyle w:val="Odstavecseseznamem"/>
        <w:numPr>
          <w:ilvl w:val="0"/>
          <w:numId w:val="1"/>
        </w:numPr>
        <w:jc w:val="both"/>
        <w:rPr>
          <w:rFonts w:eastAsia="Times New Roman" w:cstheme="minorHAnsi"/>
        </w:rPr>
      </w:pPr>
      <w:r w:rsidRPr="003B3EB1">
        <w:rPr>
          <w:rFonts w:eastAsia="Times New Roman" w:cstheme="minorHAnsi"/>
          <w:b/>
        </w:rPr>
        <w:t>Veškeré administrativní povinnosti pro společnosti vyplývající z případné směrnice o stážích musí být omezeny na minimum</w:t>
      </w:r>
      <w:r w:rsidRPr="00C71F57">
        <w:rPr>
          <w:rFonts w:eastAsia="Times New Roman" w:cstheme="minorHAnsi"/>
        </w:rPr>
        <w:t xml:space="preserve">, aby bylo zajištěno praktické plnění. Povinnost poskytovat informace a odůvodnění před stáží, během ní a po ní staví společnosti před velkou administrativní zátěž. Díky tomu je nabídka stáží složitá, právně nejistá, drahá a obecně méně atraktivní a povede to ke snížení nabídky nebo potenciálně k žádné stáži. </w:t>
      </w:r>
    </w:p>
    <w:p w:rsidR="00C71F57" w:rsidRPr="00C71F57" w:rsidRDefault="00C71F57" w:rsidP="00C71F57">
      <w:pPr>
        <w:pStyle w:val="Odstavecseseznamem"/>
        <w:numPr>
          <w:ilvl w:val="0"/>
          <w:numId w:val="1"/>
        </w:numPr>
        <w:jc w:val="both"/>
        <w:rPr>
          <w:rFonts w:eastAsia="Times New Roman" w:cstheme="minorHAnsi"/>
        </w:rPr>
      </w:pPr>
      <w:r w:rsidRPr="00C71F57">
        <w:rPr>
          <w:rFonts w:eastAsia="Times New Roman" w:cstheme="minorHAnsi"/>
        </w:rPr>
        <w:t>Je</w:t>
      </w:r>
      <w:r w:rsidR="003B3EB1">
        <w:rPr>
          <w:rFonts w:eastAsia="Times New Roman" w:cstheme="minorHAnsi"/>
        </w:rPr>
        <w:t xml:space="preserve"> třeba se vyhnout rozsáhlým kontrolám ze strany státní orgánů</w:t>
      </w:r>
      <w:r w:rsidRPr="00C71F57">
        <w:rPr>
          <w:rFonts w:eastAsia="Times New Roman" w:cstheme="minorHAnsi"/>
        </w:rPr>
        <w:t xml:space="preserve">. </w:t>
      </w:r>
      <w:r w:rsidRPr="003B3EB1">
        <w:rPr>
          <w:rFonts w:eastAsia="Times New Roman" w:cstheme="minorHAnsi"/>
          <w:b/>
        </w:rPr>
        <w:t>Opatření EU týkající se stáží se musí zaměřit na jasně podezřelé případy, které byly nahlášeny nebo identifikovány</w:t>
      </w:r>
      <w:r w:rsidRPr="00C71F57">
        <w:rPr>
          <w:rFonts w:eastAsia="Times New Roman" w:cstheme="minorHAnsi"/>
        </w:rPr>
        <w:t>. Provádění kontrol ve firmách kdykoli – bez ohledu na podezření – nedokáže efektivně odhalit špatně klasifikované stáže</w:t>
      </w:r>
      <w:r w:rsidR="003B3EB1">
        <w:rPr>
          <w:rFonts w:eastAsia="Times New Roman" w:cstheme="minorHAnsi"/>
        </w:rPr>
        <w:t xml:space="preserve">. Tyto </w:t>
      </w:r>
      <w:r w:rsidRPr="00C71F57">
        <w:rPr>
          <w:rFonts w:eastAsia="Times New Roman" w:cstheme="minorHAnsi"/>
        </w:rPr>
        <w:t>kontroly nevyhnutelně povedou k byrokracii a časově náročné práci jak pro veřejný sektor, tak především pro firmy.</w:t>
      </w:r>
    </w:p>
    <w:p w:rsidR="00C71F57" w:rsidRDefault="00C71F57" w:rsidP="00C71F57">
      <w:pPr>
        <w:pStyle w:val="Odstavecseseznamem"/>
        <w:numPr>
          <w:ilvl w:val="0"/>
          <w:numId w:val="1"/>
        </w:numPr>
        <w:jc w:val="both"/>
        <w:rPr>
          <w:rFonts w:eastAsia="Times New Roman" w:cstheme="minorHAnsi"/>
        </w:rPr>
      </w:pPr>
      <w:r w:rsidRPr="003B3EB1">
        <w:rPr>
          <w:rFonts w:eastAsia="Times New Roman" w:cstheme="minorHAnsi"/>
          <w:b/>
        </w:rPr>
        <w:t>Zásadním bodem pro zlepšení je proto začlenit do návrhu směrnice zvláštní ustanovení o úloze sociálních partnerů</w:t>
      </w:r>
      <w:r w:rsidRPr="00C71F57">
        <w:rPr>
          <w:rFonts w:eastAsia="Times New Roman" w:cstheme="minorHAnsi"/>
        </w:rPr>
        <w:t>. V souladu s různorodou realitou kolektivního vyjednávání v celé Evropě by návrh směrnice měl umožnit sociálním partnerům, aby společně stanovovali pracovní podmínky pro stážisty, což zahrnuje možnost, aby byli vyňati ze zásady rovného zacházení z objektivních důvodů souvisejících s odlišnou povahou otevřeného tržních stáží ve srovnání s jinými pracovními vztahy.</w:t>
      </w:r>
    </w:p>
    <w:p w:rsidR="00C71F57" w:rsidRPr="003B3EB1" w:rsidRDefault="003B3EB1" w:rsidP="003B3EB1">
      <w:pPr>
        <w:pStyle w:val="Odstavecseseznamem"/>
        <w:numPr>
          <w:ilvl w:val="0"/>
          <w:numId w:val="1"/>
        </w:numPr>
        <w:jc w:val="both"/>
        <w:rPr>
          <w:rFonts w:eastAsia="Times New Roman" w:cstheme="minorHAnsi"/>
        </w:rPr>
      </w:pPr>
      <w:r>
        <w:rPr>
          <w:rFonts w:eastAsia="Times New Roman" w:cstheme="minorHAnsi"/>
        </w:rPr>
        <w:lastRenderedPageBreak/>
        <w:t xml:space="preserve"> Další obavu vzbuzuje (recitál 17)</w:t>
      </w:r>
      <w:r w:rsidR="00C71F57" w:rsidRPr="00C71F57">
        <w:rPr>
          <w:rFonts w:eastAsia="Times New Roman" w:cstheme="minorHAnsi"/>
        </w:rPr>
        <w:t xml:space="preserve">, který nastiňuje </w:t>
      </w:r>
      <w:r w:rsidR="00C71F57" w:rsidRPr="003B3EB1">
        <w:rPr>
          <w:rFonts w:eastAsia="Times New Roman" w:cstheme="minorHAnsi"/>
          <w:b/>
        </w:rPr>
        <w:t xml:space="preserve">možné překrývání mezi návrhem směrnice o stážích a učňovských přípravách na volném trhu, </w:t>
      </w:r>
      <w:r w:rsidR="00C71F57" w:rsidRPr="00C71F57">
        <w:rPr>
          <w:rFonts w:eastAsia="Times New Roman" w:cstheme="minorHAnsi"/>
        </w:rPr>
        <w:t xml:space="preserve">které se uskutečňují na základě pracovní smlouvy. Za prvé je důležité vyhnout se nejasnostem ohledně učňovské přípravy a stáží, což jsou velmi odlišné formy učení založeného na práci.  </w:t>
      </w:r>
    </w:p>
    <w:p w:rsidR="00C71F57" w:rsidRPr="00E33466" w:rsidRDefault="003B3EB1" w:rsidP="00C71F57">
      <w:pPr>
        <w:pStyle w:val="Odstavecseseznamem"/>
        <w:numPr>
          <w:ilvl w:val="0"/>
          <w:numId w:val="1"/>
        </w:numPr>
        <w:jc w:val="both"/>
        <w:rPr>
          <w:rFonts w:eastAsia="Times New Roman" w:cstheme="minorHAnsi"/>
        </w:rPr>
      </w:pPr>
      <w:r>
        <w:rPr>
          <w:rFonts w:eastAsia="Times New Roman" w:cstheme="minorHAnsi"/>
        </w:rPr>
        <w:t>Pokud jde o revizi Doporučení Rady, spĆR</w:t>
      </w:r>
      <w:r w:rsidR="00C71F57" w:rsidRPr="00C71F57">
        <w:rPr>
          <w:rFonts w:eastAsia="Times New Roman" w:cstheme="minorHAnsi"/>
        </w:rPr>
        <w:t xml:space="preserve"> se domnívá, že zásady ve stávajícím rámci kvality zůstávají relevantní. </w:t>
      </w:r>
      <w:r w:rsidR="00C71F57" w:rsidRPr="003B3EB1">
        <w:rPr>
          <w:rFonts w:eastAsia="Times New Roman" w:cstheme="minorHAnsi"/>
          <w:b/>
        </w:rPr>
        <w:t>V souvislosti s potenciálně posíleným doporučením je zásadní, aby si členské státy zachovaly flexibilitu při provádění doporučení nebo jeho částí, které jsou pro ně důležité, v</w:t>
      </w:r>
      <w:r w:rsidR="00C71F57" w:rsidRPr="00C71F57">
        <w:rPr>
          <w:rFonts w:eastAsia="Times New Roman" w:cstheme="minorHAnsi"/>
        </w:rPr>
        <w:t xml:space="preserve"> kontextu jejich vnitrostátního systému průmyslových vztahů a postupů vzdělávání a odborné přípravy.</w:t>
      </w:r>
    </w:p>
    <w:p w:rsidR="007D7932" w:rsidRPr="00B10155" w:rsidRDefault="007D7932" w:rsidP="007D7932">
      <w:pPr>
        <w:ind w:firstLine="60"/>
        <w:jc w:val="both"/>
        <w:rPr>
          <w:rFonts w:cstheme="minorHAnsi"/>
        </w:rPr>
      </w:pPr>
    </w:p>
    <w:p w:rsidR="007D7932" w:rsidRDefault="007D7932">
      <w:pPr>
        <w:ind w:firstLine="60"/>
        <w:jc w:val="both"/>
      </w:pPr>
    </w:p>
    <w:sectPr w:rsidR="007D79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EED" w:rsidRDefault="00D92EED" w:rsidP="0097597E">
      <w:pPr>
        <w:spacing w:after="0" w:line="240" w:lineRule="auto"/>
      </w:pPr>
      <w:r>
        <w:separator/>
      </w:r>
    </w:p>
  </w:endnote>
  <w:endnote w:type="continuationSeparator" w:id="0">
    <w:p w:rsidR="00D92EED" w:rsidRDefault="00D92EED" w:rsidP="0097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EED" w:rsidRDefault="00D92EED" w:rsidP="0097597E">
      <w:pPr>
        <w:spacing w:after="0" w:line="240" w:lineRule="auto"/>
      </w:pPr>
      <w:r>
        <w:separator/>
      </w:r>
    </w:p>
  </w:footnote>
  <w:footnote w:type="continuationSeparator" w:id="0">
    <w:p w:rsidR="00D92EED" w:rsidRDefault="00D92EED" w:rsidP="0097597E">
      <w:pPr>
        <w:spacing w:after="0" w:line="240" w:lineRule="auto"/>
      </w:pPr>
      <w:r>
        <w:continuationSeparator/>
      </w:r>
    </w:p>
  </w:footnote>
  <w:footnote w:id="1">
    <w:p w:rsidR="0097597E" w:rsidRPr="0097597E" w:rsidRDefault="0097597E" w:rsidP="0097597E">
      <w:pPr>
        <w:spacing w:after="0" w:line="276" w:lineRule="auto"/>
        <w:jc w:val="both"/>
        <w:rPr>
          <w:rFonts w:ascii="Arial" w:hAnsi="Arial" w:cs="Arial"/>
          <w:bCs/>
          <w:sz w:val="16"/>
          <w:szCs w:val="16"/>
        </w:rPr>
      </w:pPr>
      <w:r>
        <w:rPr>
          <w:rStyle w:val="Znakapoznpodarou"/>
        </w:rPr>
        <w:footnoteRef/>
      </w:r>
      <w:r>
        <w:t xml:space="preserve"> RP MPSV: </w:t>
      </w:r>
      <w:r w:rsidRPr="0097597E">
        <w:rPr>
          <w:rFonts w:ascii="Arial" w:hAnsi="Arial" w:cs="Arial"/>
          <w:bCs/>
          <w:sz w:val="16"/>
          <w:szCs w:val="16"/>
        </w:rPr>
        <w:t>P</w:t>
      </w:r>
      <w:r w:rsidRPr="0097597E">
        <w:rPr>
          <w:rFonts w:ascii="Arial" w:hAnsi="Arial" w:cs="Arial"/>
          <w:bCs/>
          <w:sz w:val="16"/>
          <w:szCs w:val="16"/>
        </w:rPr>
        <w:t xml:space="preserve">ro ČR zásadní vyjasnit, zda </w:t>
      </w:r>
      <w:r w:rsidRPr="0097597E">
        <w:rPr>
          <w:rFonts w:ascii="Arial" w:eastAsia="Times New Roman" w:hAnsi="Arial" w:cs="Arial"/>
          <w:bCs/>
          <w:color w:val="404040"/>
          <w:sz w:val="16"/>
          <w:szCs w:val="16"/>
          <w:lang w:eastAsia="cs-CZ"/>
        </w:rPr>
        <w:t xml:space="preserve">směrnice v navrhované podobě předpokládá povinnost zavedení navrženého modelu stáže v pracovněprávním vztahu se současným zavedením mechanismu </w:t>
      </w:r>
      <w:r w:rsidRPr="0097597E">
        <w:rPr>
          <w:rFonts w:ascii="Arial" w:hAnsi="Arial" w:cs="Arial"/>
          <w:bCs/>
          <w:sz w:val="16"/>
          <w:szCs w:val="16"/>
        </w:rPr>
        <w:t xml:space="preserve">prosazování pracovních podmínek stážistů a boje proti běžným pracovním poměrům vydávaným za stáže (tzn. de facto vytvoření další kategorie zaměstnanců, popř. kvazipracovněprávní vztah stážistů). </w:t>
      </w:r>
    </w:p>
    <w:p w:rsidR="0097597E" w:rsidRPr="0097597E" w:rsidRDefault="0097597E" w:rsidP="0097597E">
      <w:pPr>
        <w:spacing w:after="0" w:line="276" w:lineRule="auto"/>
        <w:jc w:val="both"/>
        <w:rPr>
          <w:rFonts w:ascii="Arial" w:hAnsi="Arial" w:cs="Arial"/>
          <w:bCs/>
          <w:sz w:val="16"/>
          <w:szCs w:val="16"/>
        </w:rPr>
      </w:pPr>
    </w:p>
    <w:p w:rsidR="0097597E" w:rsidRPr="0097597E" w:rsidRDefault="0097597E" w:rsidP="0097597E">
      <w:pPr>
        <w:spacing w:after="0" w:line="276" w:lineRule="auto"/>
        <w:jc w:val="both"/>
        <w:rPr>
          <w:rFonts w:ascii="Arial" w:hAnsi="Arial" w:cs="Arial"/>
          <w:bCs/>
          <w:sz w:val="16"/>
          <w:szCs w:val="16"/>
        </w:rPr>
      </w:pPr>
      <w:r w:rsidRPr="0097597E">
        <w:rPr>
          <w:rFonts w:ascii="Arial" w:hAnsi="Arial" w:cs="Arial"/>
          <w:bCs/>
          <w:sz w:val="16"/>
          <w:szCs w:val="16"/>
        </w:rPr>
        <w:t xml:space="preserve">Pokud by na základě směrnice mělo být vyžadováno zavedení institutu stáže,  bude ČR při projednávání směrnice prosazovat, aby z návrhu směrnice žádná taková povinnost nevyplývala a bude prosazovat změnu předmětu a rozsahu působnosti směrnice tak, aby členské státy, které nemají právní úpravu a praxi stáží ve smyslu návrhu směrnice, nebyly povinny takový model stáží zavádět a měly možnost setrvat na jejich systému získávání praktických a odborných zkušeností s cílem zvýšené zaměstnatelnosti pracovníků. </w:t>
      </w:r>
    </w:p>
    <w:p w:rsidR="0097597E" w:rsidRPr="0097597E" w:rsidRDefault="0097597E" w:rsidP="0097597E">
      <w:pPr>
        <w:spacing w:after="0" w:line="276" w:lineRule="auto"/>
        <w:jc w:val="both"/>
        <w:rPr>
          <w:rFonts w:ascii="Arial" w:hAnsi="Arial" w:cs="Arial"/>
          <w:bCs/>
          <w:sz w:val="16"/>
          <w:szCs w:val="16"/>
        </w:rPr>
      </w:pPr>
      <w:r w:rsidRPr="0097597E">
        <w:rPr>
          <w:rFonts w:ascii="Arial" w:hAnsi="Arial" w:cs="Arial"/>
          <w:bCs/>
          <w:sz w:val="16"/>
          <w:szCs w:val="16"/>
        </w:rPr>
        <w:t>V případě, že bude ze směrnice vyplývat povinnost institut stáže zavést, ČR návrh směrnice nepodpoří.</w:t>
      </w:r>
    </w:p>
    <w:p w:rsidR="0097597E" w:rsidRPr="0097597E" w:rsidRDefault="0097597E">
      <w:pPr>
        <w:pStyle w:val="Textpoznpodarou"/>
        <w:rPr>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054E6"/>
    <w:multiLevelType w:val="hybridMultilevel"/>
    <w:tmpl w:val="62B2E272"/>
    <w:lvl w:ilvl="0" w:tplc="04050001">
      <w:start w:val="1"/>
      <w:numFmt w:val="bullet"/>
      <w:lvlText w:val=""/>
      <w:lvlJc w:val="left"/>
      <w:pPr>
        <w:ind w:left="720" w:hanging="360"/>
      </w:pPr>
      <w:rPr>
        <w:rFonts w:ascii="Symbol" w:hAnsi="Symbol" w:hint="default"/>
      </w:rPr>
    </w:lvl>
    <w:lvl w:ilvl="1" w:tplc="9356F6BC">
      <w:numFmt w:val="bullet"/>
      <w:lvlText w:val="•"/>
      <w:lvlJc w:val="left"/>
      <w:pPr>
        <w:ind w:left="785"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32"/>
    <w:rsid w:val="00046AE3"/>
    <w:rsid w:val="003B3EB1"/>
    <w:rsid w:val="00564418"/>
    <w:rsid w:val="00567D2B"/>
    <w:rsid w:val="006A5829"/>
    <w:rsid w:val="00797CE1"/>
    <w:rsid w:val="007D7932"/>
    <w:rsid w:val="0097597E"/>
    <w:rsid w:val="00B10155"/>
    <w:rsid w:val="00C71F57"/>
    <w:rsid w:val="00D92EED"/>
    <w:rsid w:val="00E33466"/>
    <w:rsid w:val="00E779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F2D1"/>
  <w15:chartTrackingRefBased/>
  <w15:docId w15:val="{F0B65A4D-D4CB-4A83-8271-A5ABD659E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7932"/>
    <w:pPr>
      <w:ind w:left="720"/>
      <w:contextualSpacing/>
    </w:pPr>
  </w:style>
  <w:style w:type="paragraph" w:styleId="Textpoznpodarou">
    <w:name w:val="footnote text"/>
    <w:basedOn w:val="Normln"/>
    <w:link w:val="TextpoznpodarouChar"/>
    <w:uiPriority w:val="99"/>
    <w:semiHidden/>
    <w:unhideWhenUsed/>
    <w:rsid w:val="0097597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7597E"/>
    <w:rPr>
      <w:sz w:val="20"/>
      <w:szCs w:val="20"/>
    </w:rPr>
  </w:style>
  <w:style w:type="character" w:styleId="Znakapoznpodarou">
    <w:name w:val="footnote reference"/>
    <w:basedOn w:val="Standardnpsmoodstavce"/>
    <w:uiPriority w:val="99"/>
    <w:semiHidden/>
    <w:unhideWhenUsed/>
    <w:rsid w:val="009759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5CF13-637F-4CC8-AEEE-B6194272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5620</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Drbalová Vladimíra</dc:creator>
  <cp:keywords/>
  <dc:description/>
  <cp:lastModifiedBy>Drbalová Vladimíra</cp:lastModifiedBy>
  <cp:revision>2</cp:revision>
  <dcterms:created xsi:type="dcterms:W3CDTF">2024-07-11T12:54:00Z</dcterms:created>
  <dcterms:modified xsi:type="dcterms:W3CDTF">2024-07-11T12:54:00Z</dcterms:modified>
</cp:coreProperties>
</file>