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6D" w:rsidRDefault="00E51540">
      <w:pPr>
        <w:spacing w:line="265" w:lineRule="auto"/>
        <w:ind w:left="10" w:right="0"/>
        <w:jc w:val="lef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-2590</wp:posOffset>
                </wp:positionH>
                <wp:positionV relativeFrom="paragraph">
                  <wp:posOffset>-23032</wp:posOffset>
                </wp:positionV>
                <wp:extent cx="626110" cy="517923"/>
                <wp:effectExtent l="0" t="0" r="0" b="0"/>
                <wp:wrapSquare wrapText="bothSides"/>
                <wp:docPr id="5355" name="Group 5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110" cy="517923"/>
                          <a:chOff x="0" y="0"/>
                          <a:chExt cx="626110" cy="51792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464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2591" y="23033"/>
                            <a:ext cx="55538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C6D" w:rsidRDefault="00E515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005FA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591" y="37789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C6D" w:rsidRDefault="00E515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55" o:spid="_x0000_s1026" style="position:absolute;left:0;text-align:left;margin-left:-.2pt;margin-top:-1.8pt;width:49.3pt;height:40.8pt;z-index:251658240" coordsize="6261,51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261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GbHO/AAAA2gAAAA8AAABkcnMvZG93bnJldi54bWxEj80KwjAQhO+C7xBW8CKaWkGlGkUEwYMi&#10;/jzA2qxtsdmUJmp9eyMIHoeZ+YaZLxtTiifVrrCsYDiIQBCnVhecKbicN/0pCOeRNZaWScGbHCwX&#10;7dYcE21ffKTnyWciQNglqCD3vkqkdGlOBt3AVsTBu9naoA+yzqSu8RXgppRxFI2lwYLDQo4VrXNK&#10;76eHUcDxlkZud7nhpjeKx6uDv8Z6r1S306xmIDw1/h/+tbdawQS+V8IN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hmxzvwAAANoAAAAPAAAAAAAAAAAAAAAAAJ8CAABk&#10;cnMvZG93bnJldi54bWxQSwUGAAAAAAQABAD3AAAAiwMAAAAA&#10;">
                  <v:imagedata r:id="rId6" o:title=""/>
                </v:shape>
                <v:rect id="Rectangle 10" o:spid="_x0000_s1028" style="position:absolute;left:25;top:230;width:556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497C6D" w:rsidRDefault="00E515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color w:val="005FA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9" style="position:absolute;left:25;top:3778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497C6D" w:rsidRDefault="00E515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Segoe UI" w:eastAsia="Segoe UI" w:hAnsi="Segoe UI" w:cs="Segoe UI"/>
          <w:color w:val="005FA4"/>
          <w:sz w:val="24"/>
        </w:rPr>
        <w:t xml:space="preserve">Svaz průmyslu a dopravy České republiky </w:t>
      </w:r>
    </w:p>
    <w:p w:rsidR="00497C6D" w:rsidRDefault="00E51540">
      <w:pPr>
        <w:spacing w:after="615" w:line="265" w:lineRule="auto"/>
        <w:ind w:left="10" w:right="0"/>
        <w:jc w:val="left"/>
      </w:pPr>
      <w:r>
        <w:rPr>
          <w:rFonts w:ascii="Segoe UI" w:eastAsia="Segoe UI" w:hAnsi="Segoe UI" w:cs="Segoe UI"/>
          <w:color w:val="005FA4"/>
          <w:sz w:val="24"/>
        </w:rPr>
        <w:t xml:space="preserve">Confederation of Industry of the Czech Republic </w:t>
      </w:r>
    </w:p>
    <w:p w:rsidR="00497C6D" w:rsidRDefault="00E51540">
      <w:pPr>
        <w:spacing w:line="259" w:lineRule="auto"/>
        <w:ind w:left="60" w:right="0" w:firstLine="0"/>
        <w:jc w:val="center"/>
      </w:pPr>
      <w:r>
        <w:rPr>
          <w:b/>
          <w:color w:val="548DD4"/>
          <w:sz w:val="28"/>
        </w:rPr>
        <w:t xml:space="preserve"> </w:t>
      </w:r>
    </w:p>
    <w:p w:rsidR="00497C6D" w:rsidRDefault="00E51540">
      <w:pPr>
        <w:spacing w:after="52" w:line="259" w:lineRule="auto"/>
        <w:ind w:left="0" w:right="0" w:firstLine="0"/>
        <w:jc w:val="left"/>
      </w:pPr>
      <w:r>
        <w:rPr>
          <w:rFonts w:ascii="Consolas" w:eastAsia="Consolas" w:hAnsi="Consolas" w:cs="Consolas"/>
          <w:sz w:val="21"/>
        </w:rPr>
        <w:t xml:space="preserve"> </w:t>
      </w:r>
    </w:p>
    <w:p w:rsidR="00497C6D" w:rsidRDefault="00E51540">
      <w:pPr>
        <w:pStyle w:val="Nadpis1"/>
      </w:pPr>
      <w:r>
        <w:t xml:space="preserve">Stanovisko k dokumentu „Řešení dalšího postupu územně ekologických limitů těžby hnědého uhlí v severních Čechách ze srpna 2015“ </w:t>
      </w:r>
    </w:p>
    <w:p w:rsidR="00497C6D" w:rsidRDefault="00E51540">
      <w:pPr>
        <w:spacing w:line="259" w:lineRule="auto"/>
        <w:ind w:left="60" w:right="0" w:firstLine="0"/>
        <w:jc w:val="center"/>
      </w:pPr>
      <w:r>
        <w:rPr>
          <w:b/>
          <w:color w:val="4F81BD"/>
          <w:sz w:val="28"/>
        </w:rPr>
        <w:t xml:space="preserve"> </w:t>
      </w:r>
    </w:p>
    <w:p w:rsidR="00497C6D" w:rsidRDefault="00E51540">
      <w:pPr>
        <w:spacing w:line="259" w:lineRule="auto"/>
        <w:ind w:left="60" w:right="0" w:firstLine="0"/>
        <w:jc w:val="center"/>
      </w:pPr>
      <w:r>
        <w:rPr>
          <w:b/>
          <w:color w:val="4F81BD"/>
          <w:sz w:val="28"/>
        </w:rPr>
        <w:t xml:space="preserve"> </w:t>
      </w:r>
    </w:p>
    <w:p w:rsidR="00497C6D" w:rsidRDefault="00E51540">
      <w:pPr>
        <w:spacing w:line="275" w:lineRule="auto"/>
        <w:ind w:left="0" w:right="156" w:firstLine="0"/>
        <w:jc w:val="left"/>
      </w:pPr>
      <w:r>
        <w:rPr>
          <w:b/>
        </w:rPr>
        <w:t>Svaz průmyslu a dopravy</w:t>
      </w:r>
      <w:r>
        <w:t xml:space="preserve"> je </w:t>
      </w:r>
      <w:r>
        <w:rPr>
          <w:b/>
        </w:rPr>
        <w:t>dlouhodobě pro úplné zrušení limitů</w:t>
      </w:r>
      <w:r>
        <w:t xml:space="preserve"> těžby hnědého uhlí, nicméně s ohledem na </w:t>
      </w:r>
      <w:r>
        <w:rPr>
          <w:b/>
        </w:rPr>
        <w:t>vývoj regulace v EU</w:t>
      </w:r>
      <w:r>
        <w:t xml:space="preserve"> (cíle 2030) a z </w:t>
      </w:r>
      <w:r>
        <w:rPr>
          <w:b/>
        </w:rPr>
        <w:t>důvodu politické průchodnosti</w:t>
      </w:r>
      <w:r>
        <w:t xml:space="preserve"> </w:t>
      </w:r>
      <w:r>
        <w:rPr>
          <w:b/>
        </w:rPr>
        <w:t>považujeme za minimum nezbytné pro naplnění závěrů ASEK korekci limitů na lomu Bílina</w:t>
      </w:r>
      <w:r>
        <w:t xml:space="preserve"> </w:t>
      </w:r>
      <w:r>
        <w:t xml:space="preserve">s tím, že </w:t>
      </w:r>
      <w:r>
        <w:rPr>
          <w:b/>
        </w:rPr>
        <w:t>současně požadujeme</w:t>
      </w:r>
      <w:r>
        <w:t xml:space="preserve"> </w:t>
      </w:r>
    </w:p>
    <w:p w:rsidR="00497C6D" w:rsidRDefault="00E51540">
      <w:pPr>
        <w:spacing w:after="53" w:line="259" w:lineRule="auto"/>
        <w:ind w:left="72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97C6D" w:rsidRDefault="00E51540">
      <w:pPr>
        <w:numPr>
          <w:ilvl w:val="0"/>
          <w:numId w:val="1"/>
        </w:numPr>
        <w:spacing w:line="278" w:lineRule="auto"/>
        <w:ind w:right="0" w:hanging="360"/>
      </w:pPr>
      <w:r>
        <w:t xml:space="preserve">aby připravený </w:t>
      </w:r>
      <w:r>
        <w:rPr>
          <w:b/>
        </w:rPr>
        <w:t>materiál včetně návrhu usnesení</w:t>
      </w:r>
      <w:r>
        <w:t xml:space="preserve"> uvedený výše byl </w:t>
      </w:r>
      <w:r>
        <w:rPr>
          <w:b/>
        </w:rPr>
        <w:t xml:space="preserve">doplněn  </w:t>
      </w:r>
      <w:r>
        <w:t xml:space="preserve">o zmíněná chybějící </w:t>
      </w:r>
      <w:r>
        <w:rPr>
          <w:b/>
        </w:rPr>
        <w:t>doprovodná opatření</w:t>
      </w:r>
      <w:r>
        <w:t xml:space="preserve"> a </w:t>
      </w:r>
      <w:r>
        <w:rPr>
          <w:b/>
        </w:rPr>
        <w:t xml:space="preserve">vládou byl projednán a schválen  </w:t>
      </w:r>
      <w:r>
        <w:t xml:space="preserve">co nejdříve, optimálně již </w:t>
      </w:r>
      <w:r>
        <w:rPr>
          <w:b/>
        </w:rPr>
        <w:t>během září</w:t>
      </w:r>
      <w:r>
        <w:t xml:space="preserve"> 2015; </w:t>
      </w:r>
    </w:p>
    <w:p w:rsidR="00497C6D" w:rsidRDefault="00E51540">
      <w:pPr>
        <w:spacing w:after="73" w:line="259" w:lineRule="auto"/>
        <w:ind w:left="46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97C6D" w:rsidRDefault="00E51540">
      <w:pPr>
        <w:numPr>
          <w:ilvl w:val="0"/>
          <w:numId w:val="1"/>
        </w:numPr>
        <w:spacing w:after="27"/>
        <w:ind w:right="0" w:hanging="360"/>
      </w:pPr>
      <w:r>
        <w:t xml:space="preserve">aby byl </w:t>
      </w:r>
      <w:r>
        <w:rPr>
          <w:b/>
        </w:rPr>
        <w:t>MPO uložen úkol dopracovat</w:t>
      </w:r>
      <w:r>
        <w:t xml:space="preserve"> v přiměřeném termínu </w:t>
      </w:r>
      <w:r>
        <w:rPr>
          <w:b/>
        </w:rPr>
        <w:t>analýzy týkající  se lomu ČSA</w:t>
      </w:r>
      <w:r>
        <w:t xml:space="preserve"> tak, aby na základě nich mohla následně </w:t>
      </w:r>
      <w:r>
        <w:rPr>
          <w:b/>
        </w:rPr>
        <w:t xml:space="preserve">vláda přijmout kvalifikované a odpovědné rozhodnutí o další budoucnosti těžby v této lokalitě </w:t>
      </w:r>
      <w:r>
        <w:t xml:space="preserve">- tedy zachovaní limitů, jejich korekci (ve </w:t>
      </w:r>
      <w:r>
        <w:t xml:space="preserve">dvou variantách) nebo případném odložení rozhodnutí; </w:t>
      </w:r>
    </w:p>
    <w:p w:rsidR="00497C6D" w:rsidRDefault="00E51540">
      <w:pPr>
        <w:spacing w:after="53" w:line="259" w:lineRule="auto"/>
        <w:ind w:left="751" w:right="0" w:firstLine="0"/>
        <w:jc w:val="left"/>
      </w:pPr>
      <w:r>
        <w:t xml:space="preserve"> </w:t>
      </w:r>
    </w:p>
    <w:p w:rsidR="00497C6D" w:rsidRDefault="00E51540">
      <w:pPr>
        <w:numPr>
          <w:ilvl w:val="0"/>
          <w:numId w:val="1"/>
        </w:numPr>
        <w:spacing w:after="27"/>
        <w:ind w:right="0" w:hanging="360"/>
      </w:pPr>
      <w:r>
        <w:t>aby bylo uloženo MPO předkládat jednou ročně revizní zprávu shrnující naplňování doprovodných opatření a naplňování strategie ASEK. Vláda tuto zpráva jednou ročně vyhodnotí a přijme taková opatření, a</w:t>
      </w:r>
      <w:r>
        <w:t xml:space="preserve">by byla zajištěna energetická bezpečnost ČR a využity ekonomické příležitosti v zájmu české energeticky a teplárenství;  </w:t>
      </w:r>
    </w:p>
    <w:p w:rsidR="00497C6D" w:rsidRDefault="00E51540">
      <w:pPr>
        <w:spacing w:after="53" w:line="259" w:lineRule="auto"/>
        <w:ind w:left="751" w:right="0" w:firstLine="0"/>
        <w:jc w:val="left"/>
      </w:pPr>
      <w:r>
        <w:t xml:space="preserve"> </w:t>
      </w:r>
    </w:p>
    <w:p w:rsidR="00497C6D" w:rsidRDefault="00E51540">
      <w:pPr>
        <w:numPr>
          <w:ilvl w:val="0"/>
          <w:numId w:val="1"/>
        </w:numPr>
        <w:spacing w:after="31"/>
        <w:ind w:right="0" w:hanging="360"/>
      </w:pPr>
      <w:r>
        <w:t>aby v případě definitivního odmítnutí korekcí na lomu ČSA byl připraven soubor opatření minimalizující negativní dopady v do</w:t>
      </w:r>
      <w:r>
        <w:t xml:space="preserve">tčeném regionu; </w:t>
      </w:r>
    </w:p>
    <w:p w:rsidR="00497C6D" w:rsidRDefault="00E51540">
      <w:pPr>
        <w:spacing w:after="53" w:line="259" w:lineRule="auto"/>
        <w:ind w:left="751" w:right="0" w:firstLine="0"/>
        <w:jc w:val="left"/>
      </w:pPr>
      <w:r>
        <w:t xml:space="preserve"> </w:t>
      </w:r>
    </w:p>
    <w:p w:rsidR="00497C6D" w:rsidRDefault="00E51540">
      <w:pPr>
        <w:numPr>
          <w:ilvl w:val="0"/>
          <w:numId w:val="1"/>
        </w:numPr>
        <w:spacing w:after="27"/>
        <w:ind w:right="0" w:hanging="360"/>
      </w:pPr>
      <w:r>
        <w:t>seznámit  občany se skutečností, že tato území jsou vládou považována za strategická pro energetickou bezpečnost země a mohou být v budoucnosti dle potřeby využita; v této souvislosti by měla být navržena opatření k přípravě obou území p</w:t>
      </w:r>
      <w:r>
        <w:t xml:space="preserve">ro budoucí možné využití;  </w:t>
      </w:r>
    </w:p>
    <w:p w:rsidR="00497C6D" w:rsidRDefault="00E51540">
      <w:pPr>
        <w:spacing w:after="51" w:line="259" w:lineRule="auto"/>
        <w:ind w:left="751" w:right="0" w:firstLine="0"/>
        <w:jc w:val="left"/>
      </w:pPr>
      <w:r>
        <w:t xml:space="preserve"> </w:t>
      </w:r>
    </w:p>
    <w:p w:rsidR="00497C6D" w:rsidRDefault="00E51540">
      <w:pPr>
        <w:numPr>
          <w:ilvl w:val="0"/>
          <w:numId w:val="1"/>
        </w:numPr>
        <w:spacing w:after="175"/>
        <w:ind w:right="0" w:hanging="360"/>
      </w:pPr>
      <w:r>
        <w:t xml:space="preserve">přijmout legislativní opatření umožňující přípravu strategických území pro těžbu. 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97C6D" w:rsidRDefault="00E51540">
      <w:pPr>
        <w:spacing w:line="259" w:lineRule="auto"/>
        <w:ind w:left="-5" w:right="0"/>
        <w:jc w:val="left"/>
      </w:pPr>
      <w:r>
        <w:rPr>
          <w:b/>
          <w:u w:val="single" w:color="000000"/>
        </w:rPr>
        <w:t>Obecné zásadní připomínky:</w:t>
      </w:r>
      <w:r>
        <w:rPr>
          <w:b/>
        </w:rPr>
        <w:t xml:space="preserve"> </w:t>
      </w:r>
    </w:p>
    <w:p w:rsidR="00497C6D" w:rsidRDefault="00E51540">
      <w:pPr>
        <w:spacing w:line="259" w:lineRule="auto"/>
        <w:ind w:left="0" w:right="0" w:firstLine="0"/>
        <w:jc w:val="left"/>
      </w:pPr>
      <w:r>
        <w:t xml:space="preserve"> </w:t>
      </w:r>
    </w:p>
    <w:p w:rsidR="00497C6D" w:rsidRDefault="00E51540">
      <w:pPr>
        <w:spacing w:after="121"/>
        <w:ind w:left="-5" w:right="0"/>
      </w:pPr>
      <w:r>
        <w:t xml:space="preserve">1. Souhlasíme s </w:t>
      </w:r>
      <w:r>
        <w:t>nezbytností provedení co nejrychlejší korekce limitů těžby uhlí na lomu Bílina, nejdéle do konce letošního roku. Trváme však na tom, že součástí tohoto rozhodnutí musí být také rozhodnutí vlády o doprovodných opatřeních, která MPO identifikovalo jako nezby</w:t>
      </w:r>
      <w:r>
        <w:t xml:space="preserve">tná v případě této varianty v materiálu Analýza potřeby dodávek hnědého uhlí pro teplárenství </w:t>
      </w:r>
    </w:p>
    <w:p w:rsidR="00497C6D" w:rsidRDefault="00E51540">
      <w:pPr>
        <w:tabs>
          <w:tab w:val="center" w:pos="4537"/>
          <w:tab w:val="center" w:pos="7198"/>
        </w:tabs>
        <w:spacing w:after="8" w:line="259" w:lineRule="auto"/>
        <w:ind w:left="-15" w:right="0" w:firstLine="0"/>
        <w:jc w:val="left"/>
      </w:pPr>
      <w:r>
        <w:rPr>
          <w:rFonts w:ascii="Segoe UI" w:eastAsia="Segoe UI" w:hAnsi="Segoe UI" w:cs="Segoe UI"/>
          <w:color w:val="005FA4"/>
          <w:sz w:val="16"/>
        </w:rPr>
        <w:t xml:space="preserve">Freyova 948/11, 190 00  Praha 9 </w:t>
      </w:r>
      <w:r>
        <w:rPr>
          <w:rFonts w:ascii="Segoe UI" w:eastAsia="Segoe UI" w:hAnsi="Segoe UI" w:cs="Segoe UI"/>
          <w:color w:val="005FA4"/>
          <w:sz w:val="16"/>
        </w:rPr>
        <w:tab/>
        <w:t xml:space="preserve"> </w:t>
      </w:r>
      <w:r>
        <w:rPr>
          <w:rFonts w:ascii="Segoe UI" w:eastAsia="Segoe UI" w:hAnsi="Segoe UI" w:cs="Segoe UI"/>
          <w:color w:val="005FA4"/>
          <w:sz w:val="16"/>
        </w:rPr>
        <w:tab/>
        <w:t xml:space="preserve">Member of </w:t>
      </w:r>
    </w:p>
    <w:p w:rsidR="00497C6D" w:rsidRDefault="00E51540">
      <w:pPr>
        <w:spacing w:after="35" w:line="259" w:lineRule="auto"/>
        <w:ind w:left="-5" w:right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4265879</wp:posOffset>
            </wp:positionH>
            <wp:positionV relativeFrom="paragraph">
              <wp:posOffset>-75584</wp:posOffset>
            </wp:positionV>
            <wp:extent cx="1543685" cy="37338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color w:val="005FA4"/>
          <w:sz w:val="16"/>
        </w:rPr>
        <w:t>Tel.: +420 225 279 111, Fax: +420 225 279 100 e-mail: spcr@spcr.cz, www.spcr.cz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97C6D" w:rsidRDefault="00E51540">
      <w:pPr>
        <w:ind w:left="-5" w:right="0"/>
      </w:pPr>
      <w:r>
        <w:lastRenderedPageBreak/>
        <w:t xml:space="preserve">s ohledem na navržené varianty </w:t>
      </w:r>
      <w:r>
        <w:t xml:space="preserve">úpravy územně-ekologických limitů těžby z června 2015 a požadujeme proto tato opatření doplnit do části IX. včetně konkrétních termínů a zodpovědného gestora. </w:t>
      </w:r>
      <w:r>
        <w:rPr>
          <w:b/>
        </w:rPr>
        <w:t xml:space="preserve">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7C6D" w:rsidRDefault="00E51540">
      <w:pPr>
        <w:ind w:left="-5" w:right="0"/>
      </w:pPr>
      <w:r>
        <w:rPr>
          <w:b/>
        </w:rPr>
        <w:t>Odůvodnění:</w:t>
      </w:r>
      <w:r>
        <w:t xml:space="preserve"> Nebudou-li realizována doprovodná opatření, varianta korekce pouze na lomu Bílina</w:t>
      </w:r>
      <w:r>
        <w:t xml:space="preserve"> nevytváří přiměřenou jistotu zajištění uhlí pro kogenerační výrobu elektřiny a tepla a tudíž nutně ani neplní strategické zadání SEK. Viz str. 5 předloženého materiálu: “Varianta korekce limitů na Bílině nemusí vyřešit problém nedostatku uhlí samo o sobě,</w:t>
      </w:r>
      <w:r>
        <w:t xml:space="preserve"> ale pouze s přijetím doprovodných opatření.“ </w:t>
      </w:r>
    </w:p>
    <w:p w:rsidR="00497C6D" w:rsidRDefault="00E51540">
      <w:pPr>
        <w:spacing w:line="259" w:lineRule="auto"/>
        <w:ind w:left="0" w:right="0" w:firstLine="0"/>
        <w:jc w:val="left"/>
      </w:pPr>
      <w:r>
        <w:t xml:space="preserve"> </w:t>
      </w:r>
    </w:p>
    <w:p w:rsidR="00497C6D" w:rsidRDefault="00E51540">
      <w:pPr>
        <w:numPr>
          <w:ilvl w:val="0"/>
          <w:numId w:val="2"/>
        </w:numPr>
        <w:ind w:right="0"/>
      </w:pPr>
      <w:r>
        <w:t>Požadujeme, aby byl MPO uložen úkol dopracovat v přiměřeném termínu analýzy týkající se lomu ČSA tak, aby na základě nich mohla vláda přijmout kvalifikované a odpovědné rozhodnutí o další budoucnosti těžby v</w:t>
      </w:r>
      <w:r>
        <w:t xml:space="preserve"> této lokalitě - tedy zachovaní limitů, jejich korekci (ve dvou variantách) nebo případném odložení rozhodnutí. V tomto smyslu požadujeme upravit také návrh usnesení vlády.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7C6D" w:rsidRDefault="00E51540">
      <w:pPr>
        <w:ind w:left="-5" w:right="0"/>
      </w:pPr>
      <w:r>
        <w:rPr>
          <w:b/>
        </w:rPr>
        <w:t>Odůvodnění:</w:t>
      </w:r>
      <w:r>
        <w:t xml:space="preserve"> Domníváme se, že MPO nedisponuje dostatkem informací a podkladů k ro</w:t>
      </w:r>
      <w:r>
        <w:t>zhodnutí, že limity na ČSA je nejvhodnější odložit. Odklad rozhodnutí je sice možný, je však také rozhodnutím a vláda by měla disponovat potřebnými informacemi o jeho důsledcích, které však v materiálu vůbec nejsou obsaženy a pravděpodobně ani nejsou k dis</w:t>
      </w:r>
      <w:r>
        <w:t>pozici. Požadujeme doložit, jaké má případný odklad rozhodnutí dopady na ekonomiku další těžby na ČSA za limity a zda je vůbec v případě odkladu rozhodnutí tato těžba ještě ekonomicky smysluplná. Každá z možných variant včetně odkladu rozhodnutí, což je po</w:t>
      </w:r>
      <w:r>
        <w:t xml:space="preserve">dle našeho názoru další samostatná varianta rozhodnutí, má zjevně své konkrétní důsledky – energetické, bezpečnostní, ekonomické, sociální, environmentální, které je potřeba dát do vzájemného srovnání, což se zatím nepodařilo.  </w:t>
      </w:r>
    </w:p>
    <w:p w:rsidR="00497C6D" w:rsidRDefault="00E51540">
      <w:pPr>
        <w:spacing w:line="259" w:lineRule="auto"/>
        <w:ind w:left="0" w:right="0" w:firstLine="0"/>
        <w:jc w:val="left"/>
      </w:pPr>
      <w:r>
        <w:t xml:space="preserve"> </w:t>
      </w:r>
    </w:p>
    <w:p w:rsidR="00497C6D" w:rsidRDefault="00E51540">
      <w:pPr>
        <w:numPr>
          <w:ilvl w:val="0"/>
          <w:numId w:val="2"/>
        </w:numPr>
        <w:ind w:right="0"/>
      </w:pPr>
      <w:r>
        <w:t xml:space="preserve">Požadujeme, aby v </w:t>
      </w:r>
      <w:r>
        <w:t>materiálu bylo odpovídajícím způsobem zdůrazněno, že v případě vyčíslení dopadů na státní rozpočet jde v případě jednotlivých variant pouze o některé vybrané dílčí dopady na státní rozpočet, nikoli o komplexní souhrn všech pravděpodobných/možných dopadů. P</w:t>
      </w:r>
      <w:r>
        <w:t xml:space="preserve">ožadujeme doplnit upozornění, které zásadní dopady nebyly do vyčíslených dopadů zahrnuty.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7C6D" w:rsidRDefault="00E51540">
      <w:pPr>
        <w:ind w:left="-5" w:right="0"/>
      </w:pPr>
      <w:r>
        <w:rPr>
          <w:b/>
        </w:rPr>
        <w:t>Odůvodnění:</w:t>
      </w:r>
      <w:r>
        <w:t xml:space="preserve"> Nepovažujeme údaje za relevantní. Přímé ekonomické dopady na státní rozpočet jsou ve všech variantách zásadním způsobem podceněny, když do analýzy byly</w:t>
      </w:r>
      <w:r>
        <w:t xml:space="preserve"> zahrnuty pouze některé dílčí a nutno poznamenat ve skutečnosti spíše okrajové dopady. Není zahrnut ani dopad daně z příjmu právnických osob těžebních společností, natož přímé dopady na státní rozpočet z navazujících sektorů, které vytěžené uhlí využívají </w:t>
      </w:r>
      <w:r>
        <w:t>a to jak v případě daně z příjmů právnických osob, tak daní a odvodů jejich zaměstnanců, není vyčíslena celá řada dalších přímých dopadů, které ani nebyly odpovídajícím způsobem zmapovány, protože podkladová studie PwC Posouzení ekonomických dopadů z pohle</w:t>
      </w:r>
      <w:r>
        <w:t xml:space="preserve">du zvažovaných variant prolomení limitu těžby uhlí na území severních Čech se zabývala pouze některými dílčími dopady bezprostředně souvisejícími s těžbou vybranými MPO v zadání studie, nikoli dopady vyplývajícími z následného využití těženého nerostu. </w:t>
      </w:r>
    </w:p>
    <w:p w:rsidR="00497C6D" w:rsidRDefault="00E51540">
      <w:pPr>
        <w:spacing w:line="259" w:lineRule="auto"/>
        <w:ind w:left="0" w:right="0" w:firstLine="0"/>
        <w:jc w:val="left"/>
      </w:pPr>
      <w:r>
        <w:t xml:space="preserve"> </w:t>
      </w:r>
    </w:p>
    <w:p w:rsidR="00497C6D" w:rsidRDefault="00E51540">
      <w:pPr>
        <w:numPr>
          <w:ilvl w:val="0"/>
          <w:numId w:val="2"/>
        </w:numPr>
        <w:ind w:right="0"/>
      </w:pPr>
      <w:r>
        <w:t xml:space="preserve">Požadujeme v celém materiálu sjednotit informaci o možné těžbě na ČSA a těžitelných zásobách této lokality. 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7C6D" w:rsidRDefault="00E51540">
      <w:pPr>
        <w:ind w:left="-5" w:right="0"/>
      </w:pPr>
      <w:r>
        <w:rPr>
          <w:b/>
        </w:rPr>
        <w:t>Odůvodnění:</w:t>
      </w:r>
      <w:r>
        <w:t xml:space="preserve"> Na str. 8 se hovoří o celkových zásobách 31,2 milionu tun (27,7 těžitelných povrchově + 3,5 těžitelných hlubinným způsobem) a možné </w:t>
      </w:r>
      <w:r>
        <w:t xml:space="preserve">těžbě do roku 2025. Na různých dalších místech materiálu jsou však udávány nejrůznější jiné odlišné údaje jak o celkových těžitelných zásobách, tak datu ukončení těžby. Upozorňujeme, že materiál by měl být alespoň v takto základních údajích konzistentní. </w:t>
      </w:r>
    </w:p>
    <w:p w:rsidR="00497C6D" w:rsidRDefault="00E51540">
      <w:pPr>
        <w:spacing w:line="259" w:lineRule="auto"/>
        <w:ind w:left="0" w:right="0" w:firstLine="0"/>
        <w:jc w:val="left"/>
      </w:pPr>
      <w:r>
        <w:t xml:space="preserve">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7C6D" w:rsidRDefault="00E51540">
      <w:pPr>
        <w:spacing w:line="259" w:lineRule="auto"/>
        <w:ind w:left="-5" w:right="0"/>
        <w:jc w:val="left"/>
      </w:pPr>
      <w:r>
        <w:rPr>
          <w:b/>
          <w:u w:val="single" w:color="000000"/>
        </w:rPr>
        <w:t>Konkrétní zásadní připomínky:</w:t>
      </w:r>
      <w:r>
        <w:rPr>
          <w:b/>
        </w:rPr>
        <w:t xml:space="preserve">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7C6D" w:rsidRDefault="00E51540">
      <w:pPr>
        <w:spacing w:after="5" w:line="249" w:lineRule="auto"/>
        <w:ind w:left="-5" w:right="0"/>
      </w:pPr>
      <w:r>
        <w:rPr>
          <w:color w:val="19161B"/>
        </w:rPr>
        <w:lastRenderedPageBreak/>
        <w:t xml:space="preserve">Str. 4 </w:t>
      </w:r>
    </w:p>
    <w:p w:rsidR="00497C6D" w:rsidRDefault="00E51540">
      <w:pPr>
        <w:spacing w:after="5" w:line="249" w:lineRule="auto"/>
        <w:ind w:left="-5" w:right="0"/>
      </w:pPr>
      <w:r>
        <w:rPr>
          <w:color w:val="19161B"/>
        </w:rPr>
        <w:t xml:space="preserve">Doporučujeme revizi textu: „Z pohledu SEK je třeba spotřebu hnědého uhlí na úrovni, kterou je ze strategického pohledu žádoucí, udržet dlouhodobě, tedy i za horizont roku 2040.“, který nedává smysl po stránce jazykové.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color w:val="19161B"/>
        </w:rPr>
        <w:t xml:space="preserve"> </w:t>
      </w:r>
    </w:p>
    <w:p w:rsidR="00497C6D" w:rsidRDefault="00E51540">
      <w:pPr>
        <w:spacing w:after="5" w:line="249" w:lineRule="auto"/>
        <w:ind w:left="-5" w:right="0"/>
      </w:pPr>
      <w:r>
        <w:rPr>
          <w:color w:val="19161B"/>
        </w:rPr>
        <w:t xml:space="preserve">Str. 4: </w:t>
      </w:r>
    </w:p>
    <w:p w:rsidR="00497C6D" w:rsidRDefault="00E51540">
      <w:pPr>
        <w:spacing w:after="5" w:line="249" w:lineRule="auto"/>
        <w:ind w:left="-5" w:right="0"/>
      </w:pPr>
      <w:r>
        <w:rPr>
          <w:color w:val="19161B"/>
        </w:rPr>
        <w:t xml:space="preserve">Text „Domácí zdroje uhlí </w:t>
      </w:r>
      <w:r>
        <w:rPr>
          <w:color w:val="19161B"/>
        </w:rPr>
        <w:t>spolu s rozvojem jaderné energetiky by měly být součástí hlavních pilířů pro zajištění bezpečnosti, nezávislosti a stability dodávek energie (v energetice co nejnižší závislost na zemním plynu a ropě).“ Platná SEK počítá s ropou a zemním plynem jako s rovn</w:t>
      </w:r>
      <w:r>
        <w:rPr>
          <w:color w:val="19161B"/>
        </w:rPr>
        <w:t xml:space="preserve">ocenným PEZ, vč. stanovení rozsahu jejich podílu na celkové spotřebě PEZ v následujících letech. Ropa a zemní plyn má a bude mít své nezastupitelné místo v palivoenergetickém mixu ČR.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color w:val="19161B"/>
        </w:rPr>
        <w:t xml:space="preserve"> </w:t>
      </w:r>
    </w:p>
    <w:p w:rsidR="00497C6D" w:rsidRDefault="00E51540">
      <w:pPr>
        <w:spacing w:after="5" w:line="249" w:lineRule="auto"/>
        <w:ind w:left="-5" w:right="0"/>
      </w:pPr>
      <w:r>
        <w:rPr>
          <w:color w:val="19161B"/>
        </w:rPr>
        <w:t xml:space="preserve">Str. 5 odrážka 2. </w:t>
      </w:r>
    </w:p>
    <w:p w:rsidR="00497C6D" w:rsidRDefault="00E51540">
      <w:pPr>
        <w:spacing w:after="5" w:line="249" w:lineRule="auto"/>
        <w:ind w:left="-5" w:right="0"/>
      </w:pPr>
      <w:r>
        <w:rPr>
          <w:color w:val="19161B"/>
        </w:rPr>
        <w:t>Požadujeme precizaci férového trhu veškerých energ</w:t>
      </w:r>
      <w:r>
        <w:rPr>
          <w:color w:val="19161B"/>
        </w:rPr>
        <w:t xml:space="preserve">etických zdrojů a technologií.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color w:val="19161B"/>
        </w:rPr>
        <w:t xml:space="preserve"> </w:t>
      </w:r>
    </w:p>
    <w:p w:rsidR="00497C6D" w:rsidRDefault="00E51540">
      <w:pPr>
        <w:spacing w:after="5" w:line="249" w:lineRule="auto"/>
        <w:ind w:left="-5" w:right="0"/>
      </w:pPr>
      <w:r>
        <w:rPr>
          <w:color w:val="19161B"/>
        </w:rPr>
        <w:t xml:space="preserve">Strana 10 odrážka 5. </w:t>
      </w:r>
    </w:p>
    <w:p w:rsidR="00497C6D" w:rsidRDefault="00E51540">
      <w:pPr>
        <w:spacing w:after="5" w:line="249" w:lineRule="auto"/>
        <w:ind w:left="-5" w:right="0"/>
      </w:pPr>
      <w:r>
        <w:rPr>
          <w:color w:val="19161B"/>
        </w:rPr>
        <w:t xml:space="preserve">Požadavek na „Odstranění omezení pro velké podniky a zásadní posílení prostředků v OPPIK na rekonstrukce tepelných sítí. Vyplácení prostředků vázat na zajištění dodávek uhlí.“ 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color w:val="19161B"/>
        </w:rPr>
        <w:t xml:space="preserve"> </w:t>
      </w:r>
    </w:p>
    <w:p w:rsidR="00497C6D" w:rsidRDefault="00E51540">
      <w:pPr>
        <w:spacing w:after="5" w:line="249" w:lineRule="auto"/>
        <w:ind w:left="-5" w:right="0"/>
      </w:pPr>
      <w:r>
        <w:rPr>
          <w:color w:val="19161B"/>
        </w:rPr>
        <w:t>Strana 11 odrážka 1.</w:t>
      </w:r>
      <w:r>
        <w:rPr>
          <w:color w:val="19161B"/>
        </w:rPr>
        <w:t xml:space="preserve"> </w:t>
      </w:r>
    </w:p>
    <w:p w:rsidR="00497C6D" w:rsidRDefault="00E51540">
      <w:pPr>
        <w:spacing w:after="5" w:line="249" w:lineRule="auto"/>
        <w:ind w:left="-5" w:right="0"/>
      </w:pPr>
      <w:r>
        <w:rPr>
          <w:color w:val="19161B"/>
        </w:rPr>
        <w:t xml:space="preserve">Požadavek na „Zásadní posílení fondu pro hrazení prokazatelné ztráty držitele licence plnícího povinnost dodávky tepelné energie nad rámec licence – řešení krachujících teplárenských společností.“ 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color w:val="19161B"/>
        </w:rPr>
        <w:t xml:space="preserve"> </w:t>
      </w:r>
    </w:p>
    <w:p w:rsidR="00497C6D" w:rsidRDefault="00E51540">
      <w:pPr>
        <w:spacing w:after="5" w:line="249" w:lineRule="auto"/>
        <w:ind w:left="-5" w:right="0"/>
      </w:pPr>
      <w:r>
        <w:rPr>
          <w:color w:val="19161B"/>
        </w:rPr>
        <w:t xml:space="preserve">Strana 11 až 13 - Hodnocení dopadů varianty č. 1 </w:t>
      </w:r>
    </w:p>
    <w:p w:rsidR="00497C6D" w:rsidRDefault="00E51540">
      <w:pPr>
        <w:spacing w:after="5" w:line="249" w:lineRule="auto"/>
        <w:ind w:left="-5" w:right="0"/>
      </w:pPr>
      <w:r>
        <w:rPr>
          <w:color w:val="19161B"/>
        </w:rPr>
        <w:t>Pov</w:t>
      </w:r>
      <w:r>
        <w:rPr>
          <w:color w:val="19161B"/>
        </w:rPr>
        <w:t>ažujeme hodnocení za nevyvážené. Nelze uvěřit tomu, že jediným přínosem varianty č. 1 je pouze výběr úhrad za dobývací prostor a vydobytý nerost (navíc nejnižší ze všech variant). Postrádáme specifikaci pozitivních efektů varianty 1. Hodnocení socioekonomi</w:t>
      </w:r>
      <w:r>
        <w:rPr>
          <w:color w:val="19161B"/>
        </w:rPr>
        <w:t>ckých dopadů vycházející ze studie PWC simuluje stav, kdy by všichni zaměstnanci dolů ze dne na den odešli domů a tam seděli do hořkého konce. Tak tomu jistě nebude. I v případě varianty č. 1 je plánovaný konec těžby na dole Bílina až v roce 2038 (tj. skor</w:t>
      </w:r>
      <w:r>
        <w:rPr>
          <w:color w:val="19161B"/>
        </w:rPr>
        <w:t>o celá jedna další generace) a na dole ČSA v roce 2024, včetně všech pokračujících rekultivačních opatření. Kolik prostředků je v rekultivačních fondech? Jakým způsobem budou čerpány? Jak dlouho a kolik zaměstnanců zde najde práci? Výpočet nepřímých náklad</w:t>
      </w:r>
      <w:r>
        <w:rPr>
          <w:color w:val="19161B"/>
        </w:rPr>
        <w:t>ů z nerealizovaných výnosů/příjmů z daně z příjmu fyzických osob (DPFO) a sociální a zdravotní pojištění (SaZP) zaměstnanců dolů je navýšen koeficient až 2,5. Tedy, že na 1 zaměstnance dolu připadá až 1,5 dalšího zaměstnance v navazujících činnostech. Tato</w:t>
      </w:r>
      <w:r>
        <w:rPr>
          <w:color w:val="19161B"/>
        </w:rPr>
        <w:t xml:space="preserve"> kalkulace nám připadá nadsazená. Zatímco samotná studie PWC v kapitole 7.3 Omezení využitelnosti posouzení ekonomických dopadů mírní vyznění výpočtů, materiál již toto uvedení na pravou míru neobsahuje.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color w:val="19161B"/>
        </w:rPr>
        <w:t xml:space="preserve"> </w:t>
      </w:r>
    </w:p>
    <w:p w:rsidR="00497C6D" w:rsidRDefault="00E51540">
      <w:pPr>
        <w:spacing w:after="5" w:line="249" w:lineRule="auto"/>
        <w:ind w:left="-5" w:right="0"/>
      </w:pPr>
      <w:r>
        <w:rPr>
          <w:color w:val="19161B"/>
        </w:rPr>
        <w:t xml:space="preserve">Str. 13 odrážka 1. a 2. </w:t>
      </w:r>
    </w:p>
    <w:p w:rsidR="00497C6D" w:rsidRDefault="00E51540">
      <w:pPr>
        <w:ind w:left="-5" w:right="0"/>
      </w:pPr>
      <w:r>
        <w:t>Na základě zvýrazňovanéh</w:t>
      </w:r>
      <w:r>
        <w:t>o negativního dopadu na státní rozpočet vlivem „nespotřebování“ vysokého odběru energií u obou lomů a nerealizovaného výnosu daní a poplatků, které jsou obsahem prvních dvou odrážek, by se na druhou stranu měly v přínosech objevit adekvátní úspory ve spotř</w:t>
      </w:r>
      <w:r>
        <w:t>ebě energií.</w:t>
      </w:r>
      <w:r>
        <w:rPr>
          <w:color w:val="19161B"/>
        </w:rPr>
        <w:t xml:space="preserve">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color w:val="19161B"/>
        </w:rPr>
        <w:t xml:space="preserve"> </w:t>
      </w:r>
    </w:p>
    <w:p w:rsidR="00497C6D" w:rsidRDefault="00E51540">
      <w:pPr>
        <w:spacing w:after="5" w:line="249" w:lineRule="auto"/>
        <w:ind w:left="-5" w:right="0"/>
      </w:pPr>
      <w:r>
        <w:rPr>
          <w:color w:val="19161B"/>
        </w:rPr>
        <w:t xml:space="preserve">Str. 14 odrážka 1. </w:t>
      </w:r>
    </w:p>
    <w:p w:rsidR="00497C6D" w:rsidRDefault="00E51540">
      <w:pPr>
        <w:spacing w:after="5" w:line="249" w:lineRule="auto"/>
        <w:ind w:left="-5" w:right="0"/>
      </w:pPr>
      <w:r>
        <w:rPr>
          <w:color w:val="19161B"/>
        </w:rPr>
        <w:t>Dopad „Přesun části emisí z centrálních zdrojů do decentralizované výroby tepla v sídlech s nízkou emisní výškou.“ lze požadovat za negativní v případě, kdy by dosavadní odběratelé tepla ze SZTE začali provozovat lokální</w:t>
      </w:r>
      <w:r>
        <w:rPr>
          <w:color w:val="19161B"/>
        </w:rPr>
        <w:t xml:space="preserve"> topeniště na pevná paliva. V případě užití jakékoliv jiné technologií lze tento dopad považovat z pohledu emisí za pozitivní.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color w:val="19161B"/>
        </w:rPr>
        <w:t xml:space="preserve"> </w:t>
      </w:r>
    </w:p>
    <w:p w:rsidR="00497C6D" w:rsidRDefault="00E51540">
      <w:pPr>
        <w:spacing w:after="5" w:line="249" w:lineRule="auto"/>
        <w:ind w:left="-5" w:right="0"/>
      </w:pPr>
      <w:r>
        <w:rPr>
          <w:color w:val="19161B"/>
        </w:rPr>
        <w:t xml:space="preserve">Str. 14 odrážka 3. </w:t>
      </w:r>
    </w:p>
    <w:p w:rsidR="00497C6D" w:rsidRDefault="00E51540">
      <w:pPr>
        <w:spacing w:after="5" w:line="249" w:lineRule="auto"/>
        <w:ind w:left="-5" w:right="0"/>
      </w:pPr>
      <w:r>
        <w:rPr>
          <w:color w:val="19161B"/>
        </w:rPr>
        <w:lastRenderedPageBreak/>
        <w:t>Dopad „rychlého ukončení dodávek tříděného uhlí pro malospotřebu a domácnosti, nucený přechod na jiná pali</w:t>
      </w:r>
      <w:r>
        <w:rPr>
          <w:color w:val="19161B"/>
        </w:rPr>
        <w:t xml:space="preserve">va (zdroje energie),“ lze z pohledu dopadů na životní prostředí považovat výlučně za pozitivní.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7C6D" w:rsidRDefault="00E51540">
      <w:pPr>
        <w:numPr>
          <w:ilvl w:val="0"/>
          <w:numId w:val="3"/>
        </w:numPr>
        <w:ind w:right="0"/>
      </w:pPr>
      <w:r>
        <w:t xml:space="preserve">Kapitola IV Str. 7: Požadujeme odstranit větu: „Nejvíce vytěženého uhlí je dodáváno do elektrárny Ledvice, která se nachází na patě tohoto lomu.“ </w:t>
      </w:r>
    </w:p>
    <w:p w:rsidR="00497C6D" w:rsidRDefault="00E51540">
      <w:pPr>
        <w:ind w:left="-5" w:right="0"/>
      </w:pPr>
      <w:r>
        <w:rPr>
          <w:b/>
        </w:rPr>
        <w:t>Odůvodnění</w:t>
      </w:r>
      <w:r>
        <w:rPr>
          <w:b/>
        </w:rPr>
        <w:t>:</w:t>
      </w:r>
      <w:r>
        <w:t xml:space="preserve"> Věta neodpovídá skutečnosti, dodávka uhlí z lomu Bílina do elektrárny Ledvice tvořila v uplynulých několika letech menší část celkové těžby. Například v roce 2014 bylo v lomu Bílina vytěženo 9,4 milionu tun uhlí, z čehož elektrárna Ledvice spotřebovala n</w:t>
      </w:r>
      <w:r>
        <w:t xml:space="preserve">ecelých 1,5 milionu tun – viz Dlouhodobá prognóza trhu s hnědým uhlím, VUPEK ekonomy. </w:t>
      </w:r>
    </w:p>
    <w:p w:rsidR="00497C6D" w:rsidRDefault="00E51540">
      <w:pPr>
        <w:spacing w:line="259" w:lineRule="auto"/>
        <w:ind w:left="0" w:right="0" w:firstLine="0"/>
        <w:jc w:val="left"/>
      </w:pPr>
      <w:r>
        <w:t xml:space="preserve"> </w:t>
      </w:r>
    </w:p>
    <w:p w:rsidR="00497C6D" w:rsidRDefault="00E51540">
      <w:pPr>
        <w:numPr>
          <w:ilvl w:val="0"/>
          <w:numId w:val="3"/>
        </w:numPr>
        <w:ind w:right="0"/>
      </w:pPr>
      <w:r>
        <w:t>Nezbytná doprovodná opatření, str. 16: V případě zpřísnění legislativních opatření pro postupné omezování spotřeby hnědého uhlí požadujeme, aby byl MŽP uložen úkol zap</w:t>
      </w:r>
      <w:r>
        <w:t>racovat zákaz uvádění zdrojů na hnědé uhlí ve výkonové rozsahu 10-300kW od 1.1.2025 na trh a zákaz spalování hnědého uhlí ve zdrojích 10-300 kW od 1.1.2030 do Národního programu snižování emisí a Střednědobé strategie (do roku 2020) zlepšení kvality ovzduš</w:t>
      </w:r>
      <w:r>
        <w:t xml:space="preserve">í v České republice a následně do zákona o ochraně ovzduší.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7C6D" w:rsidRDefault="00E51540">
      <w:pPr>
        <w:ind w:left="-5" w:right="0"/>
      </w:pPr>
      <w:r>
        <w:rPr>
          <w:b/>
        </w:rPr>
        <w:t xml:space="preserve">Odůvodnění: </w:t>
      </w:r>
      <w:r>
        <w:t>Jestliže MPO vyhodnotilo zpřísnění legislativních opatření pro postupné omezování spotřeby hnědého uhlí v malých zdrojích včetně domácností ve svých analýzách jako nezbytné, stávají</w:t>
      </w:r>
      <w:r>
        <w:t>cí strategické dokumenty ani legislativa ho v dostatečné úrovni konkrétnosti neobsahují, pak nevidíme jinou možnost, než aby MPO vládě navrhlo uložit konkrétnímu gestorovi konkrétní úkoly. Uváděné informace ohledně směrnice o středních spalovacích zdrojích</w:t>
      </w:r>
      <w:r>
        <w:t xml:space="preserve"> jsou zbytečné a irelevantní, protože tako směrnice se na malé zdroje (v pojetí národní legislativy zdroje do 300 kW) vůbec nevztahuje. </w:t>
      </w:r>
    </w:p>
    <w:p w:rsidR="00497C6D" w:rsidRDefault="00E51540">
      <w:pPr>
        <w:spacing w:line="259" w:lineRule="auto"/>
        <w:ind w:left="0" w:right="0" w:firstLine="0"/>
        <w:jc w:val="left"/>
      </w:pPr>
      <w:r>
        <w:t xml:space="preserve"> </w:t>
      </w:r>
    </w:p>
    <w:p w:rsidR="00497C6D" w:rsidRDefault="00E51540">
      <w:pPr>
        <w:numPr>
          <w:ilvl w:val="0"/>
          <w:numId w:val="3"/>
        </w:numPr>
        <w:ind w:right="0"/>
      </w:pPr>
      <w:r>
        <w:t xml:space="preserve">Nezbytná doprovodná opatření, str. 16: Ohledně úprav OP PIK nelze obecný odkaz na SEK akceptovat, </w:t>
      </w:r>
      <w:r>
        <w:t xml:space="preserve">požadujeme zahrnutí konkrétního úkolu vyhodnotit možnosti navýšení disponibilních prostředků pro rekonstrukce tepelných sítí v rámci OP PIK a zahájit s EK jednání o odstranění omezení pro velké podniky v odpovídajícím programu. 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7C6D" w:rsidRDefault="00E51540">
      <w:pPr>
        <w:ind w:left="-5" w:right="0"/>
      </w:pPr>
      <w:r>
        <w:rPr>
          <w:b/>
        </w:rPr>
        <w:t>Odůvodnění:</w:t>
      </w:r>
      <w:r>
        <w:t xml:space="preserve"> MPO se znalo</w:t>
      </w:r>
      <w:r>
        <w:t>stí SEK a OP PIK vyhodnotilo jako nezbytné provedení zcela konkrétních dodatečných úprav v OP PIK, je tedy nezbytné, aby navrhlo vládě uložení konkrétního úkolu. Odkaz na vágní obecný cíl SEK nemůže v této souvislosti obstát, protože neřeší konkrétní ident</w:t>
      </w:r>
      <w:r>
        <w:t xml:space="preserve">ifikované problémy v OP PIK. </w:t>
      </w:r>
    </w:p>
    <w:p w:rsidR="00497C6D" w:rsidRDefault="00E51540">
      <w:pPr>
        <w:spacing w:line="259" w:lineRule="auto"/>
        <w:ind w:left="0" w:right="0" w:firstLine="0"/>
        <w:jc w:val="left"/>
      </w:pPr>
      <w:r>
        <w:t xml:space="preserve"> </w:t>
      </w:r>
    </w:p>
    <w:p w:rsidR="00497C6D" w:rsidRDefault="00E51540">
      <w:pPr>
        <w:numPr>
          <w:ilvl w:val="0"/>
          <w:numId w:val="3"/>
        </w:numPr>
        <w:ind w:right="0"/>
      </w:pPr>
      <w:r>
        <w:t xml:space="preserve">Nezbytná doprovodná opatření, str. 16: Ohledně ukončení podpory domácích kotlů na uhlí po doběhnutí první výzvy (2018) požadujeme, aby byl zahrnut konkrétní úkol pro MŽP.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7C6D" w:rsidRDefault="00E51540">
      <w:pPr>
        <w:ind w:left="-5" w:right="0"/>
      </w:pPr>
      <w:r>
        <w:rPr>
          <w:b/>
        </w:rPr>
        <w:t>Odůvodnění:</w:t>
      </w:r>
      <w:r>
        <w:t xml:space="preserve"> </w:t>
      </w:r>
      <w:r>
        <w:t>Opatření identifikovalo MPO jako nezbytné. Nevidíme proto jinou možnost, než aby MPO předložilo vládě návrh konkrétního úkolu pro MŽP. Mimo jiné i ve vazbě na ukončení využívání uhlí v roce 2030 je s ohledem na životnost domácích kotlů na hnědé uhlí neodův</w:t>
      </w:r>
      <w:r>
        <w:t>odnitelné pokračovat v podpoře jejich instalací z veřejných prostředků. Vláda by se měla chovat zodpovědně nejen k veřejným prostředkům, ale také k soukromým financím, které se na investicích do pořízení kotlů na hnědé uhlí také podílejí. Občané by měli do</w:t>
      </w:r>
      <w:r>
        <w:t xml:space="preserve">stat jasný konkrétní signál, že stát má zájem hnědé uhlí z konečné spotřeby postupně vytěsnit, aby tomu mohli včas přizpůsobit své rozhodování a vyhnout se tak zmařeným investicím. </w:t>
      </w:r>
    </w:p>
    <w:p w:rsidR="00497C6D" w:rsidRDefault="00E51540">
      <w:pPr>
        <w:spacing w:line="259" w:lineRule="auto"/>
        <w:ind w:left="0" w:right="0" w:firstLine="0"/>
        <w:jc w:val="left"/>
      </w:pPr>
      <w:r>
        <w:t xml:space="preserve"> </w:t>
      </w:r>
    </w:p>
    <w:p w:rsidR="00497C6D" w:rsidRDefault="00E51540">
      <w:pPr>
        <w:numPr>
          <w:ilvl w:val="0"/>
          <w:numId w:val="3"/>
        </w:numPr>
        <w:ind w:right="0"/>
      </w:pPr>
      <w:r>
        <w:t>Nezbytná doprovodná opatření, str. 16: Ohledně určení významu zdrojů zás</w:t>
      </w:r>
      <w:r>
        <w:t xml:space="preserve">obujících SZT pro provoz distribučních soustav požadujeme, aby byl MPO uložen konkrétní úkol s konkrétním termínem tuto analýzu zpracovat.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7C6D" w:rsidRDefault="00E51540">
      <w:pPr>
        <w:ind w:left="-5" w:right="0"/>
      </w:pPr>
      <w:r>
        <w:rPr>
          <w:b/>
        </w:rPr>
        <w:t>Odůvodnění:</w:t>
      </w:r>
      <w:r>
        <w:t xml:space="preserve"> MPO samo uvádí, že daná analýza není k dispozici ani neexistuje konkrétní zadání. Jestliže MPO tuto an</w:t>
      </w:r>
      <w:r>
        <w:t xml:space="preserve">alýzu identifikovalo jako nezbytnou, pak je logickým krokem uložit její </w:t>
      </w:r>
      <w:r>
        <w:lastRenderedPageBreak/>
        <w:t xml:space="preserve">zpracování s konkrétním termínem. Následné by měly být výsledky analýzy zahrnuty do aktualizace souvisejících strategických dokumentů. </w:t>
      </w:r>
    </w:p>
    <w:p w:rsidR="00497C6D" w:rsidRDefault="00E51540">
      <w:pPr>
        <w:spacing w:line="259" w:lineRule="auto"/>
        <w:ind w:left="0" w:right="0" w:firstLine="0"/>
        <w:jc w:val="left"/>
      </w:pPr>
      <w:r>
        <w:t xml:space="preserve"> </w:t>
      </w:r>
    </w:p>
    <w:p w:rsidR="00497C6D" w:rsidRDefault="00E51540">
      <w:pPr>
        <w:numPr>
          <w:ilvl w:val="0"/>
          <w:numId w:val="3"/>
        </w:numPr>
        <w:ind w:right="0"/>
      </w:pPr>
      <w:r>
        <w:t>Varianta 3, str. 36: Podle závěru k variantě 3</w:t>
      </w:r>
      <w:r>
        <w:t xml:space="preserve"> je daná varianta ekonomicky zcela nereálná, požadujeme tento závěr přeformulovat tak, že existují důvodné pochybnosti o ekonomické průchodnosti této varianty.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7C6D" w:rsidRDefault="00E51540">
      <w:pPr>
        <w:ind w:left="-5" w:right="0"/>
      </w:pPr>
      <w:r>
        <w:rPr>
          <w:b/>
        </w:rPr>
        <w:t>Odůvodnění:</w:t>
      </w:r>
      <w:r>
        <w:t xml:space="preserve"> Studie zpracované PwC na objednávku MPO nijak ekonomickou realizovatelnost jednot</w:t>
      </w:r>
      <w:r>
        <w:t>livých variant nehodnotily, navíc ve studii Posouzení ekonomických dopadů z pohledu zvažovaných variant prolomení limitu těžby uhlí na území severních Čech upozorňuje PwC na to, že stát nemá k dispozici analýzy ekonomické rentability variant 3 a 4. Uvedený</w:t>
      </w:r>
      <w:r>
        <w:t xml:space="preserve"> závěr se tedy může opírat pouze o tvrzení Severní energetické, kterou však nelze považovat v daném kontextu za nezaujatý subjekt. MPO by mělo vycházet v případě svých závěrů z konkrétních nestranných podkladů, nikoli z tvrzení společnosti přímo zaintereso</w:t>
      </w:r>
      <w:r>
        <w:t xml:space="preserve">vané na výsledku rozhodnutí vlády o limitech těžby uhlí. </w:t>
      </w:r>
    </w:p>
    <w:p w:rsidR="00497C6D" w:rsidRDefault="00E51540">
      <w:pPr>
        <w:spacing w:line="259" w:lineRule="auto"/>
        <w:ind w:left="0" w:right="0" w:firstLine="0"/>
        <w:jc w:val="left"/>
      </w:pPr>
      <w:r>
        <w:t xml:space="preserve"> </w:t>
      </w:r>
    </w:p>
    <w:p w:rsidR="00497C6D" w:rsidRDefault="00E51540">
      <w:pPr>
        <w:numPr>
          <w:ilvl w:val="0"/>
          <w:numId w:val="3"/>
        </w:numPr>
        <w:ind w:right="0"/>
      </w:pPr>
      <w:r>
        <w:t>Varianta 4, str. 37: Požadujeme do závěru k variantě 4 doplnit, že ekonomická realizovatelnost jednotlivých variant nebyla hodnocena a tudíž není jisté, že je daná varianta ekonomicky realizovatel</w:t>
      </w:r>
      <w:r>
        <w:t xml:space="preserve">ná soukromým subjektem za komerčních podmínek. Požadujeme také doplnit časová a ekonomická rizika.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7C6D" w:rsidRDefault="00E51540">
      <w:pPr>
        <w:ind w:left="-5" w:right="0"/>
      </w:pPr>
      <w:r>
        <w:rPr>
          <w:b/>
        </w:rPr>
        <w:t xml:space="preserve">Odůvodnění: </w:t>
      </w:r>
      <w:r>
        <w:t>Skutečnost, že</w:t>
      </w:r>
      <w:r>
        <w:rPr>
          <w:b/>
        </w:rPr>
        <w:t xml:space="preserve"> </w:t>
      </w:r>
      <w:r>
        <w:t>těžební společnost ekonomickou nerealizovatelnost dané varianty nenamítá, nemůže být dostatečným důvodem pro to, aby MPO automa</w:t>
      </w:r>
      <w:r>
        <w:t>ticky a bez podkladů vycházelo z toho, že daný záměr se značnou vstupní investicí ekonomicky realizovatelný je, navíc za všech okolností. Na str. 5 jsou uvedena konkrétní rizika časová i ekonomická, která by se slušelo uvést také do závěru k této variantě.</w:t>
      </w:r>
      <w:r>
        <w:t xml:space="preserve"> Vyhodnotit ekonomickou realizovatelnost daného záměru navíc doporučila také společnost PwC ve studii Posouzení ekonomických dopadů z pohledu zvažovaných variant prolomení limitu těžby uhlí na území severních Čech z 29. června 2015, viz str. 76 studie: “Z </w:t>
      </w:r>
      <w:r>
        <w:t>dostupných podkladů a z veřejných zdrojů vyplývá, že další těžba na lomu ČSA (varianta 3 a 4) může být ekonomicky náročná a je otázkou, zda bude těžba ekonomicky rentabilní. Z dostupných informací nebyly definice jednotlivých variant založeny na výše uvede</w:t>
      </w:r>
      <w:r>
        <w:t>ných propočtech [ekonomické rentability]. Z našeho pohledu je skutečnost, že stát nemá tyto propočty k dispozici, riziková, protože tyto přímo ovlivňují realizovatelnost etap 3 a 4 a váží na sebe budoucí potenciální tlak a náklady na stát ze strany těžební</w:t>
      </w:r>
      <w:r>
        <w:t xml:space="preserve"> společnosti (viz problematika uzavření dolu Paskov).“ </w:t>
      </w:r>
    </w:p>
    <w:p w:rsidR="00497C6D" w:rsidRDefault="00E51540">
      <w:pPr>
        <w:spacing w:line="259" w:lineRule="auto"/>
        <w:ind w:left="0" w:right="0" w:firstLine="0"/>
        <w:jc w:val="left"/>
      </w:pPr>
      <w:r>
        <w:t xml:space="preserve"> </w:t>
      </w:r>
    </w:p>
    <w:p w:rsidR="00497C6D" w:rsidRDefault="00E51540">
      <w:pPr>
        <w:numPr>
          <w:ilvl w:val="0"/>
          <w:numId w:val="3"/>
        </w:numPr>
        <w:ind w:right="0"/>
      </w:pPr>
      <w:r>
        <w:t xml:space="preserve">Požadujeme konkrétní zdůvodnění, jak MPO došlo k navýšení počtu pracovníků o 452 primárních míst ve variantě 4 v letech 2015 až 2019.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7C6D" w:rsidRDefault="00E51540">
      <w:pPr>
        <w:ind w:left="-5" w:right="0"/>
      </w:pPr>
      <w:r>
        <w:rPr>
          <w:b/>
        </w:rPr>
        <w:t>Odůvodnění:</w:t>
      </w:r>
      <w:r>
        <w:t xml:space="preserve"> Ve variantě 2 je uveden pokles primárních pracovn</w:t>
      </w:r>
      <w:r>
        <w:t>ích míst v letech 2015 až 2019 o 1478. Ve variantě 4 počítá ve stejném období s nárůstem 452 pracovních míst. Z toho vyplývá, že rozhodnutí o korekci limitů na ČSA generuje v období 2015 až 2019 v této lokalitě celkem 1930 primárních pracovních míst. Podkl</w:t>
      </w:r>
      <w:r>
        <w:t>adová studie PwC Posouzení sociálních dopadů u jednotlivých obcí a dotčeného regionu z pohledu zvažovaných variant prolomení limitu těžby uhlí na území severních Čech na str. 84 tvrdí, že k nárůstu pracovních míst dochází v letech 2015-2024 proto, aby „byl</w:t>
      </w:r>
      <w:r>
        <w:t>a obsazena pracovní místa navýšená v souvislosti se zvyšováním objemu těžby.“ V období až do roku 2024 podle údajů v samotné studii však k žádnému nárůstu těžby ani ve variantě 4 nedochází.  V dokumentu Zpráva o udržitelném rozvoji skupiny Sev.en v roce 20</w:t>
      </w:r>
      <w:r>
        <w:t>13 se na str. 64 uvádí popis kroků v případě zrušení limitů těžby na ČSA v roce 2015. V letech 2015 až 2020 se konkrétně jedná o „řešení střetů zájmů“, „výstavbu nové obce“, „proces EIA“ a další inženýrsko administrativní práce nezbytné pro získání POPD. V</w:t>
      </w:r>
      <w:r>
        <w:t xml:space="preserve"> roce 2020 se v uvedeném scénáři Severní energetické předpokládá získání rozhodnutí o povolení hornické činnosti a v roce 2021 příprava území před těžbou a zahájení těžby skrývky. Tato prognóza je samozřejmě s ohledem na nutné vypořádání střetů zájmů velmi</w:t>
      </w:r>
      <w:r>
        <w:t xml:space="preserve"> optimistická. Nicméně ani z ní není zřejmé, jak by bylo možné v letech 2015-2019 vytvořit v souvislosti s těžbou v lokalitě ČSA celkem dodatečných 1930 primárních pracovních míst. Navíc je </w:t>
      </w:r>
      <w:r>
        <w:lastRenderedPageBreak/>
        <w:t>velká otázka, o jaká místa by vlastně šlo a kde by byla situována.</w:t>
      </w:r>
      <w:r>
        <w:t xml:space="preserve"> Z informací v kapitole 3.1 na str. 16 citované studie PwC vyplývá, že autor studie informace o rušených pracovních místech pouze přebral od MPO a nijak je neověřoval. Z toho vyplývá, že by MPO mělo mít k dispozici informaci o tom, jak tato čísla vznikla. </w:t>
      </w:r>
    </w:p>
    <w:p w:rsidR="00497C6D" w:rsidRDefault="00E51540">
      <w:pPr>
        <w:spacing w:line="259" w:lineRule="auto"/>
        <w:ind w:left="0" w:right="0" w:firstLine="0"/>
        <w:jc w:val="left"/>
      </w:pPr>
      <w:r>
        <w:t xml:space="preserve"> </w:t>
      </w:r>
    </w:p>
    <w:p w:rsidR="00497C6D" w:rsidRDefault="00E51540">
      <w:pPr>
        <w:numPr>
          <w:ilvl w:val="0"/>
          <w:numId w:val="3"/>
        </w:numPr>
        <w:ind w:right="0"/>
      </w:pPr>
      <w:r>
        <w:t xml:space="preserve">Kapitola IX, str. 38: Požadujeme doplnit výše uvedené konkrétní opatření identifikovaná jako nezbytná v případě realizace varianty 2. Současně požadujeme vyškrtnout opatření, která nemají oporu v </w:t>
      </w:r>
      <w:r>
        <w:t xml:space="preserve">textu dokumentu ani podkladových studiích, respektive nejsou nijak zdůvodněna, nebo alternativně požadujeme příslušná zdůvodnění do textu předloženého dokumentu doplnit. </w:t>
      </w:r>
    </w:p>
    <w:p w:rsidR="00497C6D" w:rsidRDefault="00E51540">
      <w:pPr>
        <w:ind w:left="-5" w:right="0"/>
      </w:pPr>
      <w:r>
        <w:t xml:space="preserve">Konkrétně se jedná o úkoly č. 1, 2, 4., 6., 7., 8., 9. a 10. 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7C6D" w:rsidRDefault="00E51540">
      <w:pPr>
        <w:ind w:left="-5" w:right="0"/>
      </w:pPr>
      <w:r>
        <w:rPr>
          <w:b/>
        </w:rPr>
        <w:t>Odůvodnění:</w:t>
      </w:r>
      <w:r>
        <w:t>Zdůrazňuj</w:t>
      </w:r>
      <w:r>
        <w:t>eme, že jsou navrhována opatření bez konkrétní vazby na vyhodnocení navržené varianty a její důsledky a naopak opatření identifikovaná MPO v rámci vyhodnocení jako nezbytná, navržena vůbec nejsou. Souhrn opatření v kapitole IX by měl logicky vycházet z pře</w:t>
      </w:r>
      <w:r>
        <w:t xml:space="preserve">dchozích částí dokumentu a mělo by být dohledatelné, jak tyto návrhy úkolů vznikly, o co se opírají a jaké problémy řeší. </w:t>
      </w:r>
    </w:p>
    <w:p w:rsidR="00497C6D" w:rsidRDefault="00E51540">
      <w:pPr>
        <w:spacing w:line="259" w:lineRule="auto"/>
        <w:ind w:left="0" w:right="0" w:firstLine="0"/>
        <w:jc w:val="left"/>
      </w:pPr>
      <w:r>
        <w:t xml:space="preserve"> </w:t>
      </w:r>
    </w:p>
    <w:p w:rsidR="00497C6D" w:rsidRDefault="00E51540">
      <w:pPr>
        <w:numPr>
          <w:ilvl w:val="0"/>
          <w:numId w:val="3"/>
        </w:numPr>
        <w:ind w:right="0"/>
      </w:pPr>
      <w:r>
        <w:t xml:space="preserve">Kapitola IX, str. 38: Požadujeme vypustit úkol 3.4 „Zajistit provázanost surovinové politiky s (územními plány) Politikou územního </w:t>
      </w:r>
      <w:r>
        <w:t xml:space="preserve">rozvoje“ bez náhrady.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7C6D" w:rsidRDefault="00E51540">
      <w:pPr>
        <w:ind w:left="-5" w:right="0"/>
      </w:pPr>
      <w:r>
        <w:rPr>
          <w:b/>
        </w:rPr>
        <w:t xml:space="preserve">Odůvodnění: </w:t>
      </w:r>
      <w:r>
        <w:t>Nelze předjímat schválení surovinové politiky vládou a tudíž ani její promítnutí do dalších dokumentů. Uvedený úkol by se měl logicky objevit až v usnesení vlády ke schválení surovinové politiky.</w:t>
      </w:r>
      <w:r>
        <w:rPr>
          <w:b/>
        </w:rPr>
        <w:t xml:space="preserve">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7C6D" w:rsidRDefault="00E51540">
      <w:pPr>
        <w:spacing w:line="259" w:lineRule="auto"/>
        <w:ind w:left="-5" w:right="0"/>
        <w:jc w:val="left"/>
      </w:pPr>
      <w:r>
        <w:rPr>
          <w:b/>
          <w:u w:val="single" w:color="000000"/>
        </w:rPr>
        <w:t>Konkrétní doporuču</w:t>
      </w:r>
      <w:r>
        <w:rPr>
          <w:b/>
          <w:u w:val="single" w:color="000000"/>
        </w:rPr>
        <w:t>jící připomínky:</w:t>
      </w:r>
      <w:r>
        <w:rPr>
          <w:b/>
        </w:rPr>
        <w:t xml:space="preserve">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7C6D" w:rsidRDefault="00E51540">
      <w:pPr>
        <w:numPr>
          <w:ilvl w:val="0"/>
          <w:numId w:val="4"/>
        </w:numPr>
        <w:ind w:right="0" w:hanging="218"/>
      </w:pPr>
      <w:r>
        <w:t xml:space="preserve">Doporučujeme nahradit slangový výraz „teplé uhlí“ na str. 11 vhodnější spisovnou terminologií. </w:t>
      </w:r>
    </w:p>
    <w:p w:rsidR="00497C6D" w:rsidRDefault="00E51540">
      <w:pPr>
        <w:spacing w:line="259" w:lineRule="auto"/>
        <w:ind w:left="0" w:right="0" w:firstLine="0"/>
        <w:jc w:val="left"/>
      </w:pPr>
      <w:r>
        <w:t xml:space="preserve"> </w:t>
      </w:r>
    </w:p>
    <w:p w:rsidR="00497C6D" w:rsidRDefault="00E51540">
      <w:pPr>
        <w:numPr>
          <w:ilvl w:val="0"/>
          <w:numId w:val="4"/>
        </w:numPr>
        <w:ind w:right="0" w:hanging="218"/>
      </w:pPr>
      <w:r>
        <w:t>Vývoj těžby, str. 14: Navrhujeme nahradit větu: „S využitím zásob uhlí za linií limitů těžby počítá i dokončovaný nový blok 660 MW v Ledvi</w:t>
      </w:r>
      <w:r>
        <w:t>cích, až do konce své životnosti.“ větou „Využití zásob uhlí za linií limitů těžby lomu Bílina by mohlo umožnit prodloužení životnosti bloku 660 MW v Ledvicích“. Věta je nevhodně formulována s ohledem na původce děje. Současně dnes není možné s využitím zá</w:t>
      </w:r>
      <w:r>
        <w:t xml:space="preserve">sob za limity na lomu Bílina počítat. </w:t>
      </w:r>
    </w:p>
    <w:p w:rsidR="00497C6D" w:rsidRDefault="00E51540">
      <w:pPr>
        <w:spacing w:line="259" w:lineRule="auto"/>
        <w:ind w:left="0" w:right="0" w:firstLine="0"/>
        <w:jc w:val="left"/>
      </w:pPr>
      <w:r>
        <w:t xml:space="preserve"> </w:t>
      </w:r>
    </w:p>
    <w:p w:rsidR="00497C6D" w:rsidRDefault="00E51540">
      <w:pPr>
        <w:numPr>
          <w:ilvl w:val="0"/>
          <w:numId w:val="4"/>
        </w:numPr>
        <w:ind w:right="0" w:hanging="218"/>
      </w:pPr>
      <w:r>
        <w:t xml:space="preserve">Doporučujeme v celém dokumentu nahradit hovorový až slangový obrat „prolomení limitů“ vhodnějším výrazem odpovídajícím skutečnosti. 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497C6D" w:rsidRDefault="00E51540">
      <w:pPr>
        <w:spacing w:line="259" w:lineRule="auto"/>
        <w:ind w:left="0" w:right="0" w:firstLine="0"/>
        <w:jc w:val="left"/>
      </w:pPr>
      <w:r>
        <w:rPr>
          <w:i/>
        </w:rPr>
        <w:t xml:space="preserve">V Praze dne 26.8.2015 </w:t>
      </w:r>
    </w:p>
    <w:p w:rsidR="00497C6D" w:rsidRDefault="00E51540">
      <w:pPr>
        <w:spacing w:line="259" w:lineRule="auto"/>
        <w:ind w:left="0" w:right="0" w:firstLine="0"/>
        <w:jc w:val="left"/>
      </w:pPr>
      <w:r>
        <w:t xml:space="preserve"> </w:t>
      </w:r>
    </w:p>
    <w:sectPr w:rsidR="00497C6D">
      <w:pgSz w:w="11906" w:h="16838"/>
      <w:pgMar w:top="1073" w:right="1411" w:bottom="606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B69"/>
    <w:multiLevelType w:val="hybridMultilevel"/>
    <w:tmpl w:val="273475FC"/>
    <w:lvl w:ilvl="0" w:tplc="CF5203F0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68C0CA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A20412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A5980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BEEAEA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CFD66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06111A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68187E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4A0DAA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374BFC"/>
    <w:multiLevelType w:val="hybridMultilevel"/>
    <w:tmpl w:val="953CAEA4"/>
    <w:lvl w:ilvl="0" w:tplc="6902E03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92D98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0A91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ECC9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6A1AC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14E44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AA73E8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CE2B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468C6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7D5719"/>
    <w:multiLevelType w:val="hybridMultilevel"/>
    <w:tmpl w:val="1EE8FD82"/>
    <w:lvl w:ilvl="0" w:tplc="1CD68A3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AA445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3439A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926C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2947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E258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92A03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838E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2FB3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BA0C7D"/>
    <w:multiLevelType w:val="hybridMultilevel"/>
    <w:tmpl w:val="9FC26996"/>
    <w:lvl w:ilvl="0" w:tplc="1AD22C3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6EF5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04D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8B7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CC02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2AA8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A17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4F9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5811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6D"/>
    <w:rsid w:val="00497C6D"/>
    <w:rsid w:val="00E5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54382-854E-4549-9996-6A78898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8" w:lineRule="auto"/>
      <w:ind w:left="370" w:right="2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" w:line="239" w:lineRule="auto"/>
      <w:ind w:left="816" w:hanging="576"/>
      <w:outlineLvl w:val="0"/>
    </w:pPr>
    <w:rPr>
      <w:rFonts w:ascii="Calibri" w:eastAsia="Calibri" w:hAnsi="Calibri" w:cs="Calibri"/>
      <w:b/>
      <w:color w:val="4F81BD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4F81B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2816</Words>
  <Characters>16619</Characters>
  <Application>Microsoft Office Word</Application>
  <DocSecurity>4</DocSecurity>
  <Lines>138</Lines>
  <Paragraphs>38</Paragraphs>
  <ScaleCrop>false</ScaleCrop>
  <Company/>
  <LinksUpToDate>false</LinksUpToDate>
  <CharactersWithSpaces>19397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dopisního papíru SP ČR</dc:title>
  <dc:subject/>
  <dc:creator>Petra Ježková</dc:creator>
  <cp:keywords/>
  <cp:lastModifiedBy>Aliapuliosová Eva</cp:lastModifiedBy>
  <cp:revision>2</cp:revision>
  <dcterms:created xsi:type="dcterms:W3CDTF">2015-09-08T11:44:00Z</dcterms:created>
  <dcterms:modified xsi:type="dcterms:W3CDTF">2015-09-08T11:44:00Z</dcterms:modified>
</cp:coreProperties>
</file>