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9"/>
        <w:gridCol w:w="1134"/>
        <w:gridCol w:w="2128"/>
        <w:gridCol w:w="3118"/>
      </w:tblGrid>
      <w:tr w:rsidR="004F4704" w:rsidRPr="00CD0CB7" w:rsidTr="00CD0CB7">
        <w:trPr>
          <w:cantSplit/>
          <w:trHeight w:hRule="exact" w:val="1134"/>
        </w:trPr>
        <w:tc>
          <w:tcPr>
            <w:tcW w:w="3259" w:type="dxa"/>
            <w:shd w:val="clear" w:color="auto" w:fill="auto"/>
            <w:tcMar>
              <w:left w:w="0" w:type="dxa"/>
              <w:right w:w="0" w:type="dxa"/>
            </w:tcMar>
          </w:tcPr>
          <w:p w:rsidR="004F4704" w:rsidRPr="00CD0CB7" w:rsidRDefault="00325748" w:rsidP="00E73D1E"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-88265</wp:posOffset>
                  </wp:positionV>
                  <wp:extent cx="1623695" cy="867410"/>
                  <wp:effectExtent l="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F4704" w:rsidRPr="00CD0CB7" w:rsidRDefault="004F4704" w:rsidP="00DA13EF"/>
        </w:tc>
        <w:tc>
          <w:tcPr>
            <w:tcW w:w="5246" w:type="dxa"/>
            <w:gridSpan w:val="2"/>
            <w:shd w:val="clear" w:color="auto" w:fill="auto"/>
          </w:tcPr>
          <w:p w:rsidR="002E4CA8" w:rsidRPr="00CD0CB7" w:rsidRDefault="002E4CA8" w:rsidP="00DA13EF"/>
        </w:tc>
      </w:tr>
      <w:tr w:rsidR="00B93DAF" w:rsidRPr="00CD0CB7" w:rsidTr="00CD0CB7">
        <w:trPr>
          <w:cantSplit/>
          <w:trHeight w:hRule="exact" w:val="964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B93DAF" w:rsidRPr="00CD0CB7" w:rsidRDefault="00B93DAF" w:rsidP="00646DB8"/>
        </w:tc>
      </w:tr>
      <w:tr w:rsidR="00F01630" w:rsidRPr="00CD0CB7" w:rsidTr="00CD0CB7">
        <w:trPr>
          <w:cantSplit/>
          <w:trHeight w:hRule="exact" w:val="567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4825B4" w:rsidRDefault="00F01630" w:rsidP="00F01630">
            <w:pPr>
              <w:pStyle w:val="Nadpis24B"/>
            </w:pPr>
            <w:r w:rsidRPr="004825B4">
              <w:t>tisková zpráva</w:t>
            </w:r>
          </w:p>
        </w:tc>
      </w:tr>
      <w:tr w:rsidR="00F01630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CD0CB7" w:rsidRDefault="00F01630" w:rsidP="00646DB8"/>
        </w:tc>
      </w:tr>
      <w:tr w:rsidR="00962275" w:rsidRPr="00CD0CB7" w:rsidTr="00CD0CB7">
        <w:trPr>
          <w:cantSplit/>
          <w:trHeight w:hRule="exact" w:val="283"/>
        </w:trPr>
        <w:tc>
          <w:tcPr>
            <w:tcW w:w="65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62275" w:rsidRPr="00CD0CB7" w:rsidRDefault="00962275" w:rsidP="00943DD0">
            <w:pPr>
              <w:pStyle w:val="Datum1"/>
            </w:pPr>
          </w:p>
        </w:tc>
        <w:tc>
          <w:tcPr>
            <w:tcW w:w="3118" w:type="dxa"/>
            <w:shd w:val="clear" w:color="auto" w:fill="auto"/>
          </w:tcPr>
          <w:p w:rsidR="00962275" w:rsidRPr="00CD0CB7" w:rsidRDefault="00962275" w:rsidP="009F776D">
            <w:pPr>
              <w:pStyle w:val="Datum1"/>
            </w:pPr>
            <w:r w:rsidRPr="00CD0CB7">
              <w:t>V Praze dne</w:t>
            </w:r>
            <w:bookmarkStart w:id="0" w:name="Text1"/>
            <w:r w:rsidR="00B25B8A">
              <w:t xml:space="preserve"> </w:t>
            </w:r>
            <w:bookmarkEnd w:id="0"/>
            <w:r w:rsidR="009F776D">
              <w:t>13. června 2016</w:t>
            </w:r>
          </w:p>
        </w:tc>
      </w:tr>
      <w:tr w:rsidR="00736CB3" w:rsidRPr="00CD0CB7" w:rsidTr="00CD0CB7">
        <w:trPr>
          <w:cantSplit/>
          <w:trHeight w:hRule="exact"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36CB3" w:rsidRPr="00CD0CB7" w:rsidRDefault="00736CB3" w:rsidP="00F01630"/>
        </w:tc>
      </w:tr>
      <w:tr w:rsidR="00F01630" w:rsidRPr="003545B4" w:rsidTr="00CD0CB7">
        <w:trPr>
          <w:cantSplit/>
          <w:trHeight w:val="340"/>
        </w:trPr>
        <w:tc>
          <w:tcPr>
            <w:tcW w:w="96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01630" w:rsidRPr="003545B4" w:rsidRDefault="00FA54AC" w:rsidP="00B25B8A">
            <w:pPr>
              <w:pStyle w:val="Nadpis14B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Ministr Mládek: Pokud internetový průmysl žádá více času na projednání, jsem ochoten požádat vládu o prodloužení lhůty pro národní plán rychlého internetu"/>
                  </w:textInput>
                </w:ffData>
              </w:fldChar>
            </w:r>
            <w:bookmarkStart w:id="1" w:name="Text4"/>
            <w:r w:rsidR="007E3EC2">
              <w:instrText xml:space="preserve">FORMTEXT </w:instrText>
            </w:r>
            <w:r>
              <w:fldChar w:fldCharType="separate"/>
            </w:r>
            <w:r w:rsidR="007E3EC2">
              <w:rPr>
                <w:noProof/>
              </w:rPr>
              <w:t>Ministr Mládek: Pokud internetový průmysl žádá více času na projednání, jsem ochoten požádat vládu o prodloužení lhůty pro národní plán rychlého internetu</w:t>
            </w:r>
            <w:r>
              <w:fldChar w:fldCharType="end"/>
            </w:r>
            <w:bookmarkEnd w:id="1"/>
          </w:p>
        </w:tc>
      </w:tr>
    </w:tbl>
    <w:p w:rsidR="009057CC" w:rsidRDefault="009057CC" w:rsidP="00A322CD">
      <w:pPr>
        <w:jc w:val="both"/>
        <w:rPr>
          <w:rFonts w:asciiTheme="minorHAnsi" w:hAnsiTheme="minorHAnsi"/>
          <w:b/>
          <w:szCs w:val="22"/>
        </w:rPr>
      </w:pPr>
    </w:p>
    <w:p w:rsidR="00A322CD" w:rsidRPr="005F2304" w:rsidRDefault="00A322CD" w:rsidP="00A322CD">
      <w:pPr>
        <w:jc w:val="both"/>
        <w:rPr>
          <w:rFonts w:asciiTheme="minorHAnsi" w:hAnsiTheme="minorHAnsi"/>
          <w:b/>
          <w:szCs w:val="22"/>
        </w:rPr>
      </w:pPr>
      <w:r w:rsidRPr="005F2304">
        <w:rPr>
          <w:rFonts w:asciiTheme="minorHAnsi" w:hAnsiTheme="minorHAnsi"/>
          <w:b/>
          <w:szCs w:val="22"/>
        </w:rPr>
        <w:t xml:space="preserve">Ministr průmyslu a obchodu Jan Mládek je připraven </w:t>
      </w:r>
      <w:r w:rsidR="00014FEE" w:rsidRPr="005F2304">
        <w:rPr>
          <w:rFonts w:asciiTheme="minorHAnsi" w:hAnsiTheme="minorHAnsi"/>
          <w:b/>
          <w:szCs w:val="22"/>
        </w:rPr>
        <w:t xml:space="preserve">vyjít vstříc </w:t>
      </w:r>
      <w:r w:rsidRPr="005F2304">
        <w:rPr>
          <w:rFonts w:asciiTheme="minorHAnsi" w:hAnsiTheme="minorHAnsi"/>
          <w:b/>
          <w:szCs w:val="22"/>
        </w:rPr>
        <w:t>požadavk</w:t>
      </w:r>
      <w:r w:rsidR="009C21DF" w:rsidRPr="005F2304">
        <w:rPr>
          <w:rFonts w:asciiTheme="minorHAnsi" w:hAnsiTheme="minorHAnsi"/>
          <w:b/>
          <w:szCs w:val="22"/>
        </w:rPr>
        <w:t>u</w:t>
      </w:r>
      <w:r w:rsidRPr="005F2304">
        <w:rPr>
          <w:rFonts w:asciiTheme="minorHAnsi" w:hAnsiTheme="minorHAnsi"/>
          <w:b/>
          <w:szCs w:val="22"/>
        </w:rPr>
        <w:t xml:space="preserve"> zástupců sektoru elektronických komunikací odloži</w:t>
      </w:r>
      <w:r w:rsidR="008914F5" w:rsidRPr="005F2304">
        <w:rPr>
          <w:rFonts w:asciiTheme="minorHAnsi" w:hAnsiTheme="minorHAnsi"/>
          <w:b/>
          <w:szCs w:val="22"/>
        </w:rPr>
        <w:t xml:space="preserve">t </w:t>
      </w:r>
      <w:r w:rsidRPr="005F2304">
        <w:rPr>
          <w:rFonts w:asciiTheme="minorHAnsi" w:hAnsiTheme="minorHAnsi"/>
          <w:b/>
          <w:szCs w:val="22"/>
        </w:rPr>
        <w:t>na nezbytnou dobu projednávání Národního plánu rozvoje sítí nové generace, který m</w:t>
      </w:r>
      <w:r w:rsidR="009C21DF" w:rsidRPr="005F2304">
        <w:rPr>
          <w:rFonts w:asciiTheme="minorHAnsi" w:hAnsiTheme="minorHAnsi"/>
          <w:b/>
          <w:szCs w:val="22"/>
        </w:rPr>
        <w:t>á</w:t>
      </w:r>
      <w:r w:rsidRPr="005F2304">
        <w:rPr>
          <w:rFonts w:asciiTheme="minorHAnsi" w:hAnsiTheme="minorHAnsi"/>
          <w:b/>
          <w:szCs w:val="22"/>
        </w:rPr>
        <w:t xml:space="preserve"> být předložen vládě do 30. června. </w:t>
      </w:r>
      <w:r w:rsidR="00180780" w:rsidRPr="005F2304">
        <w:rPr>
          <w:rFonts w:asciiTheme="minorHAnsi" w:hAnsiTheme="minorHAnsi"/>
          <w:b/>
          <w:szCs w:val="22"/>
        </w:rPr>
        <w:t>O odklad termínu jej dnes požádala o</w:t>
      </w:r>
      <w:r w:rsidR="00180780" w:rsidRPr="00B25B8A">
        <w:rPr>
          <w:rFonts w:asciiTheme="minorHAnsi" w:hAnsiTheme="minorHAnsi"/>
          <w:b/>
          <w:szCs w:val="22"/>
        </w:rPr>
        <w:t>dborná veřejnost sdružená v Platformě pro rozvoj vysokorychlostních internetových sítí pod vedením Hospodářské komory ČR a Svazu průmyslu a dopravy ČR.</w:t>
      </w:r>
    </w:p>
    <w:p w:rsidR="00A322CD" w:rsidRPr="003C1DFA" w:rsidRDefault="00A322CD" w:rsidP="00A322CD">
      <w:pPr>
        <w:jc w:val="both"/>
      </w:pPr>
      <w:r w:rsidRPr="007864A1">
        <w:rPr>
          <w:b/>
          <w:i/>
        </w:rPr>
        <w:t xml:space="preserve">"Naše práce na Národním plánu rozvoje sítí nové generace </w:t>
      </w:r>
      <w:r w:rsidR="007E3EC2" w:rsidRPr="007864A1">
        <w:rPr>
          <w:b/>
          <w:i/>
        </w:rPr>
        <w:t>probíhá</w:t>
      </w:r>
      <w:r w:rsidRPr="007864A1">
        <w:rPr>
          <w:b/>
          <w:i/>
        </w:rPr>
        <w:t xml:space="preserve"> podle harmonogramu a MPO je připraveno náro</w:t>
      </w:r>
      <w:r w:rsidR="008914F5" w:rsidRPr="007864A1">
        <w:rPr>
          <w:b/>
          <w:i/>
        </w:rPr>
        <w:t>dní plán předložit. ICT sektor</w:t>
      </w:r>
      <w:r w:rsidRPr="007864A1">
        <w:rPr>
          <w:b/>
          <w:i/>
        </w:rPr>
        <w:t xml:space="preserve"> požaduje </w:t>
      </w:r>
      <w:r w:rsidR="008914F5" w:rsidRPr="007864A1">
        <w:rPr>
          <w:b/>
          <w:i/>
        </w:rPr>
        <w:t xml:space="preserve">více </w:t>
      </w:r>
      <w:r w:rsidRPr="007864A1">
        <w:rPr>
          <w:b/>
          <w:i/>
        </w:rPr>
        <w:t>čas</w:t>
      </w:r>
      <w:r w:rsidR="008914F5" w:rsidRPr="007864A1">
        <w:rPr>
          <w:b/>
          <w:i/>
        </w:rPr>
        <w:t>u</w:t>
      </w:r>
      <w:r w:rsidRPr="007864A1">
        <w:rPr>
          <w:b/>
          <w:i/>
        </w:rPr>
        <w:t xml:space="preserve"> na prozkoumání ekonomických analýz, které vyplývají ze souborů dat, jejichž sběr zajišťovalo ČTÚ, a které byly předány k 30. květnu 2016 v souladu s akčním plánem schváleným vládou ke zpracování ekonomických analýz,“ </w:t>
      </w:r>
      <w:r>
        <w:t>uvedl Jan Mládek</w:t>
      </w:r>
      <w:r w:rsidR="00957C00">
        <w:t>.</w:t>
      </w:r>
    </w:p>
    <w:p w:rsidR="00A322CD" w:rsidRPr="003C1DFA" w:rsidRDefault="00A322CD" w:rsidP="00A322CD">
      <w:pPr>
        <w:jc w:val="both"/>
      </w:pPr>
      <w:r>
        <w:t xml:space="preserve">Jan Mládek dodal, že </w:t>
      </w:r>
      <w:r w:rsidR="008B1E6C">
        <w:t xml:space="preserve">rozumí </w:t>
      </w:r>
      <w:r w:rsidR="005F2304">
        <w:t>p</w:t>
      </w:r>
      <w:r w:rsidRPr="003C1DFA">
        <w:t xml:space="preserve">ožadavku </w:t>
      </w:r>
      <w:r w:rsidR="00B4339D">
        <w:t xml:space="preserve">sektoru </w:t>
      </w:r>
      <w:r w:rsidR="008B1E6C">
        <w:t xml:space="preserve">na možnost seznámit se s vyhodnocením a analýzou sebraných dat. </w:t>
      </w:r>
      <w:r w:rsidR="00B25B8A">
        <w:t xml:space="preserve"> </w:t>
      </w:r>
      <w:r w:rsidR="008B1E6C">
        <w:t xml:space="preserve">Výstupy z prvotních </w:t>
      </w:r>
      <w:r w:rsidRPr="003C1DFA">
        <w:t xml:space="preserve">analýz sebraných dat </w:t>
      </w:r>
      <w:r w:rsidR="008B1E6C">
        <w:t xml:space="preserve">se totiž </w:t>
      </w:r>
      <w:r w:rsidRPr="003C1DFA">
        <w:t xml:space="preserve">svým obsahem </w:t>
      </w:r>
      <w:r w:rsidR="008B1E6C">
        <w:t>rozcházejí s dosavadními očekáváními</w:t>
      </w:r>
      <w:r w:rsidRPr="003C1DFA">
        <w:t>. Současní provozovatelé služeb přístupu k internetu, kterých je evidováno 2220, ve svých údajích o plánované výstavbě v následujících třech letech oproti předchozím informacím</w:t>
      </w:r>
      <w:r w:rsidR="00B25B8A">
        <w:t xml:space="preserve"> </w:t>
      </w:r>
      <w:r w:rsidRPr="003C1DFA">
        <w:t xml:space="preserve">enormně zvýšili své investiční plány a předpokládají z vlastních investičních zdrojů, </w:t>
      </w:r>
      <w:r w:rsidR="005F2304">
        <w:t xml:space="preserve">tedy </w:t>
      </w:r>
      <w:r w:rsidRPr="003C1DFA">
        <w:t xml:space="preserve">bez veřejné podpory, pokrýt více </w:t>
      </w:r>
      <w:r w:rsidR="005F2304">
        <w:t>než</w:t>
      </w:r>
      <w:r w:rsidRPr="003C1DFA">
        <w:t xml:space="preserve"> 50% oblastí, ve kterých dosud ne</w:t>
      </w:r>
      <w:r w:rsidR="00014FEE">
        <w:t xml:space="preserve">ní internet </w:t>
      </w:r>
      <w:r w:rsidRPr="003C1DFA">
        <w:t xml:space="preserve">k dispozici. </w:t>
      </w:r>
      <w:r w:rsidR="008B1E6C">
        <w:t xml:space="preserve">Pochopitelný je i </w:t>
      </w:r>
      <w:r w:rsidRPr="003C1DFA">
        <w:t xml:space="preserve">požadavek </w:t>
      </w:r>
      <w:r w:rsidR="008B1E6C">
        <w:t xml:space="preserve">sektoru </w:t>
      </w:r>
      <w:r w:rsidRPr="003C1DFA">
        <w:t xml:space="preserve">na modifikaci připravovaného záměru veřejné konzultace tak, aby ve svém zaměření </w:t>
      </w:r>
      <w:r w:rsidR="008B1E6C" w:rsidRPr="003C1DFA">
        <w:t xml:space="preserve">reagovala </w:t>
      </w:r>
      <w:r w:rsidRPr="003C1DFA">
        <w:t xml:space="preserve">i na výsledky analýzy vstupních údajů o deklarovaném a dříve neočekávaném chování trhu. </w:t>
      </w:r>
    </w:p>
    <w:p w:rsidR="009458E7" w:rsidRDefault="00A322CD" w:rsidP="00180780">
      <w:pPr>
        <w:jc w:val="both"/>
      </w:pPr>
      <w:r w:rsidRPr="007864A1">
        <w:rPr>
          <w:b/>
          <w:i/>
        </w:rPr>
        <w:t xml:space="preserve">„Zároveň v půlce července </w:t>
      </w:r>
      <w:r w:rsidR="00014FEE" w:rsidRPr="007864A1">
        <w:rPr>
          <w:b/>
          <w:i/>
        </w:rPr>
        <w:t xml:space="preserve">chceme </w:t>
      </w:r>
      <w:r w:rsidRPr="007864A1">
        <w:rPr>
          <w:b/>
          <w:i/>
        </w:rPr>
        <w:t>kvůli úplné transparentnosti předlož</w:t>
      </w:r>
      <w:r w:rsidR="00014FEE" w:rsidRPr="007864A1">
        <w:rPr>
          <w:b/>
          <w:i/>
        </w:rPr>
        <w:t>it</w:t>
      </w:r>
      <w:r w:rsidRPr="007864A1">
        <w:rPr>
          <w:b/>
          <w:i/>
        </w:rPr>
        <w:t xml:space="preserve"> do veřejného konzultačního procesu data </w:t>
      </w:r>
      <w:r w:rsidR="00014FEE" w:rsidRPr="007864A1">
        <w:rPr>
          <w:b/>
          <w:i/>
        </w:rPr>
        <w:t>na</w:t>
      </w:r>
      <w:r w:rsidRPr="007864A1">
        <w:rPr>
          <w:b/>
          <w:i/>
        </w:rPr>
        <w:t>sbíra</w:t>
      </w:r>
      <w:r w:rsidR="00014FEE" w:rsidRPr="007864A1">
        <w:rPr>
          <w:b/>
          <w:i/>
        </w:rPr>
        <w:t>ná</w:t>
      </w:r>
      <w:r w:rsidRPr="007864A1">
        <w:rPr>
          <w:b/>
          <w:i/>
        </w:rPr>
        <w:t xml:space="preserve"> Český</w:t>
      </w:r>
      <w:r w:rsidR="00014FEE" w:rsidRPr="007864A1">
        <w:rPr>
          <w:b/>
          <w:i/>
        </w:rPr>
        <w:t>m</w:t>
      </w:r>
      <w:r w:rsidRPr="007864A1">
        <w:rPr>
          <w:b/>
          <w:i/>
        </w:rPr>
        <w:t xml:space="preserve"> telekomunikační</w:t>
      </w:r>
      <w:r w:rsidR="00014FEE" w:rsidRPr="007864A1">
        <w:rPr>
          <w:b/>
          <w:i/>
        </w:rPr>
        <w:t>m</w:t>
      </w:r>
      <w:r w:rsidRPr="007864A1">
        <w:rPr>
          <w:b/>
          <w:i/>
        </w:rPr>
        <w:t xml:space="preserve"> úřad</w:t>
      </w:r>
      <w:r w:rsidR="00014FEE" w:rsidRPr="007864A1">
        <w:rPr>
          <w:b/>
          <w:i/>
        </w:rPr>
        <w:t>em,</w:t>
      </w:r>
      <w:r w:rsidRPr="007864A1">
        <w:rPr>
          <w:b/>
          <w:i/>
        </w:rPr>
        <w:t xml:space="preserve"> která mapují tzv. bílá místa bez vysokorychlostního internetu. Veřejná konzultace poběží do konce srpna, v září vypořádáme připomínky a v říjnu bychom tento krok měli uzavřít. ICT sektor požaduje, aby tyto procesy běžely souběžně, tedy aby Národní plán rozvoje vysokorychlostního internetu nebyl projednán bez vypořádání mapy bílých míst,"</w:t>
      </w:r>
      <w:r w:rsidRPr="003C1DFA">
        <w:t xml:space="preserve"> </w:t>
      </w:r>
      <w:r>
        <w:t>poznamenal</w:t>
      </w:r>
      <w:r w:rsidRPr="003C1DFA">
        <w:t xml:space="preserve"> ministr Mládek.</w:t>
      </w:r>
      <w:bookmarkStart w:id="2" w:name="_GoBack"/>
      <w:bookmarkEnd w:id="2"/>
    </w:p>
    <w:sectPr w:rsidR="009458E7" w:rsidSect="00A1675C">
      <w:headerReference w:type="default" r:id="rId8"/>
      <w:footerReference w:type="default" r:id="rId9"/>
      <w:type w:val="continuous"/>
      <w:pgSz w:w="11906" w:h="16838"/>
      <w:pgMar w:top="567" w:right="1134" w:bottom="2268" w:left="1134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82" w:rsidRDefault="00915982" w:rsidP="003245BB">
      <w:pPr>
        <w:spacing w:after="0" w:line="240" w:lineRule="auto"/>
      </w:pPr>
      <w:r>
        <w:separator/>
      </w:r>
    </w:p>
  </w:endnote>
  <w:endnote w:type="continuationSeparator" w:id="0">
    <w:p w:rsidR="00915982" w:rsidRDefault="00915982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C65BF1" w:rsidTr="00C65BF1">
      <w:trPr>
        <w:cantSplit/>
        <w:trHeight w:hRule="exact" w:val="66"/>
      </w:trPr>
      <w:tc>
        <w:tcPr>
          <w:tcW w:w="3402" w:type="dxa"/>
        </w:tcPr>
        <w:p w:rsidR="00C65BF1" w:rsidRDefault="00C65BF1">
          <w:pPr>
            <w:pStyle w:val="Adresa"/>
          </w:pPr>
        </w:p>
      </w:tc>
      <w:tc>
        <w:tcPr>
          <w:tcW w:w="3261" w:type="dxa"/>
        </w:tcPr>
        <w:p w:rsidR="00C65BF1" w:rsidRDefault="00C65BF1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-1626870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</w:p>
      </w:tc>
    </w:tr>
    <w:tr w:rsidR="00C65BF1" w:rsidTr="00C65BF1">
      <w:trPr>
        <w:cantSplit/>
        <w:trHeight w:hRule="exact" w:val="680"/>
      </w:trPr>
      <w:tc>
        <w:tcPr>
          <w:tcW w:w="3402" w:type="dxa"/>
          <w:hideMark/>
        </w:tcPr>
        <w:p w:rsidR="00C65BF1" w:rsidRDefault="00C65BF1">
          <w:pPr>
            <w:pStyle w:val="Adresa"/>
          </w:pPr>
          <w:r>
            <w:t>Mgr. František Kotrba</w:t>
          </w:r>
        </w:p>
        <w:p w:rsidR="00C65BF1" w:rsidRDefault="00C65BF1">
          <w:pPr>
            <w:pStyle w:val="Adresa"/>
          </w:pPr>
          <w:r>
            <w:t>tiskový mluvčí</w:t>
          </w:r>
        </w:p>
      </w:tc>
      <w:tc>
        <w:tcPr>
          <w:tcW w:w="3261" w:type="dxa"/>
        </w:tcPr>
        <w:p w:rsidR="00C65BF1" w:rsidRDefault="00C65BF1">
          <w:pPr>
            <w:pStyle w:val="Adresa"/>
          </w:pP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  <w:r>
            <w:t>Na Františku 32, 110 15 Praha 1</w:t>
          </w:r>
        </w:p>
        <w:p w:rsidR="00C65BF1" w:rsidRDefault="00C65BF1">
          <w:pPr>
            <w:pStyle w:val="Adresa"/>
          </w:pPr>
          <w:r>
            <w:t>M +420 702 211 157, T +420 224 854 137</w:t>
          </w:r>
        </w:p>
        <w:p w:rsidR="00C65BF1" w:rsidRDefault="00C65BF1">
          <w:pPr>
            <w:pStyle w:val="Adresa"/>
          </w:pPr>
          <w:r>
            <w:t>kotrba@mpo.cz, www.mpo.cz</w:t>
          </w:r>
        </w:p>
      </w:tc>
    </w:tr>
  </w:tbl>
  <w:p w:rsidR="00C65BF1" w:rsidRDefault="00C65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82" w:rsidRDefault="00915982" w:rsidP="003245BB">
      <w:pPr>
        <w:spacing w:after="0" w:line="240" w:lineRule="auto"/>
      </w:pPr>
      <w:r>
        <w:separator/>
      </w:r>
    </w:p>
  </w:footnote>
  <w:footnote w:type="continuationSeparator" w:id="0">
    <w:p w:rsidR="00915982" w:rsidRDefault="00915982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CD"/>
    <w:rsid w:val="00014FEE"/>
    <w:rsid w:val="00016645"/>
    <w:rsid w:val="00024849"/>
    <w:rsid w:val="00044AC9"/>
    <w:rsid w:val="00080883"/>
    <w:rsid w:val="000A6A0D"/>
    <w:rsid w:val="000A746E"/>
    <w:rsid w:val="000A7F49"/>
    <w:rsid w:val="000B3A9F"/>
    <w:rsid w:val="000C12D2"/>
    <w:rsid w:val="000C3707"/>
    <w:rsid w:val="000C7D77"/>
    <w:rsid w:val="000E1486"/>
    <w:rsid w:val="000E2581"/>
    <w:rsid w:val="000E6005"/>
    <w:rsid w:val="000F3B51"/>
    <w:rsid w:val="000F40C8"/>
    <w:rsid w:val="0010464C"/>
    <w:rsid w:val="001179F6"/>
    <w:rsid w:val="00131932"/>
    <w:rsid w:val="00137ABC"/>
    <w:rsid w:val="0015486D"/>
    <w:rsid w:val="00162E2D"/>
    <w:rsid w:val="001650E4"/>
    <w:rsid w:val="0016629D"/>
    <w:rsid w:val="00180780"/>
    <w:rsid w:val="00180AF5"/>
    <w:rsid w:val="001872CB"/>
    <w:rsid w:val="001912B8"/>
    <w:rsid w:val="00196B17"/>
    <w:rsid w:val="001B130D"/>
    <w:rsid w:val="001B24BC"/>
    <w:rsid w:val="001C11C1"/>
    <w:rsid w:val="001D60A3"/>
    <w:rsid w:val="001D7933"/>
    <w:rsid w:val="001E4BA8"/>
    <w:rsid w:val="001F20A4"/>
    <w:rsid w:val="00217692"/>
    <w:rsid w:val="00221F7F"/>
    <w:rsid w:val="0023030D"/>
    <w:rsid w:val="00253069"/>
    <w:rsid w:val="002664BD"/>
    <w:rsid w:val="00277AF0"/>
    <w:rsid w:val="00286EB9"/>
    <w:rsid w:val="00293476"/>
    <w:rsid w:val="002935FF"/>
    <w:rsid w:val="002B2B42"/>
    <w:rsid w:val="002C7F72"/>
    <w:rsid w:val="002D7EE1"/>
    <w:rsid w:val="002E48F7"/>
    <w:rsid w:val="002E4B3A"/>
    <w:rsid w:val="002E4CA8"/>
    <w:rsid w:val="002F799E"/>
    <w:rsid w:val="0031712C"/>
    <w:rsid w:val="00317FC6"/>
    <w:rsid w:val="00322A19"/>
    <w:rsid w:val="003245BB"/>
    <w:rsid w:val="00325748"/>
    <w:rsid w:val="0033706B"/>
    <w:rsid w:val="00340A59"/>
    <w:rsid w:val="003519C0"/>
    <w:rsid w:val="003545B4"/>
    <w:rsid w:val="0036472C"/>
    <w:rsid w:val="00365074"/>
    <w:rsid w:val="003667F5"/>
    <w:rsid w:val="00383EBB"/>
    <w:rsid w:val="0039064B"/>
    <w:rsid w:val="00391554"/>
    <w:rsid w:val="003935A6"/>
    <w:rsid w:val="003B1478"/>
    <w:rsid w:val="003B6B56"/>
    <w:rsid w:val="003C0742"/>
    <w:rsid w:val="003C28AC"/>
    <w:rsid w:val="003C61D7"/>
    <w:rsid w:val="003C6DA4"/>
    <w:rsid w:val="003D6574"/>
    <w:rsid w:val="003E4517"/>
    <w:rsid w:val="003E4AC7"/>
    <w:rsid w:val="004153AC"/>
    <w:rsid w:val="004179C8"/>
    <w:rsid w:val="004306CC"/>
    <w:rsid w:val="00433872"/>
    <w:rsid w:val="00437ABE"/>
    <w:rsid w:val="00467AAC"/>
    <w:rsid w:val="0047523A"/>
    <w:rsid w:val="00476E19"/>
    <w:rsid w:val="004825B4"/>
    <w:rsid w:val="0048338A"/>
    <w:rsid w:val="00490954"/>
    <w:rsid w:val="004A270E"/>
    <w:rsid w:val="004A56B1"/>
    <w:rsid w:val="004B2121"/>
    <w:rsid w:val="004C1ED8"/>
    <w:rsid w:val="004F4402"/>
    <w:rsid w:val="004F4704"/>
    <w:rsid w:val="005027A7"/>
    <w:rsid w:val="00503F2E"/>
    <w:rsid w:val="00521A3A"/>
    <w:rsid w:val="005261ED"/>
    <w:rsid w:val="005432C6"/>
    <w:rsid w:val="0055000B"/>
    <w:rsid w:val="00562510"/>
    <w:rsid w:val="00565EA8"/>
    <w:rsid w:val="00574904"/>
    <w:rsid w:val="005764C1"/>
    <w:rsid w:val="005902FE"/>
    <w:rsid w:val="005A0F6C"/>
    <w:rsid w:val="005B3323"/>
    <w:rsid w:val="005B5C6B"/>
    <w:rsid w:val="005C6F39"/>
    <w:rsid w:val="005D78C5"/>
    <w:rsid w:val="005E3C4C"/>
    <w:rsid w:val="005F1281"/>
    <w:rsid w:val="005F2304"/>
    <w:rsid w:val="006126AB"/>
    <w:rsid w:val="0061465E"/>
    <w:rsid w:val="0062174C"/>
    <w:rsid w:val="006260AD"/>
    <w:rsid w:val="006271A6"/>
    <w:rsid w:val="006316BB"/>
    <w:rsid w:val="00646DB8"/>
    <w:rsid w:val="00664910"/>
    <w:rsid w:val="006656F4"/>
    <w:rsid w:val="00686356"/>
    <w:rsid w:val="0069085A"/>
    <w:rsid w:val="006B0B1A"/>
    <w:rsid w:val="006B48A1"/>
    <w:rsid w:val="006E5CEC"/>
    <w:rsid w:val="006E5EDB"/>
    <w:rsid w:val="00707830"/>
    <w:rsid w:val="00715042"/>
    <w:rsid w:val="00736CB3"/>
    <w:rsid w:val="00742CC4"/>
    <w:rsid w:val="007463A6"/>
    <w:rsid w:val="007864A1"/>
    <w:rsid w:val="00792840"/>
    <w:rsid w:val="00794E5D"/>
    <w:rsid w:val="007A046A"/>
    <w:rsid w:val="007A1D19"/>
    <w:rsid w:val="007C06CE"/>
    <w:rsid w:val="007C0EA0"/>
    <w:rsid w:val="007C6D2E"/>
    <w:rsid w:val="007C6EFF"/>
    <w:rsid w:val="007E2D40"/>
    <w:rsid w:val="007E3EC2"/>
    <w:rsid w:val="007F363E"/>
    <w:rsid w:val="00806522"/>
    <w:rsid w:val="00811E3E"/>
    <w:rsid w:val="00813ED3"/>
    <w:rsid w:val="00814B71"/>
    <w:rsid w:val="00826C3C"/>
    <w:rsid w:val="00834DEE"/>
    <w:rsid w:val="0085051C"/>
    <w:rsid w:val="00854E41"/>
    <w:rsid w:val="00857483"/>
    <w:rsid w:val="00861587"/>
    <w:rsid w:val="00861E9F"/>
    <w:rsid w:val="00862944"/>
    <w:rsid w:val="0086306F"/>
    <w:rsid w:val="008914F5"/>
    <w:rsid w:val="008A1EEB"/>
    <w:rsid w:val="008B1E6C"/>
    <w:rsid w:val="008C7D44"/>
    <w:rsid w:val="008D684F"/>
    <w:rsid w:val="00904235"/>
    <w:rsid w:val="009047BB"/>
    <w:rsid w:val="009057CC"/>
    <w:rsid w:val="00907C02"/>
    <w:rsid w:val="00915982"/>
    <w:rsid w:val="00916933"/>
    <w:rsid w:val="00917020"/>
    <w:rsid w:val="00935389"/>
    <w:rsid w:val="00942A30"/>
    <w:rsid w:val="00943DD0"/>
    <w:rsid w:val="009458E7"/>
    <w:rsid w:val="00946AA7"/>
    <w:rsid w:val="00957C00"/>
    <w:rsid w:val="00962275"/>
    <w:rsid w:val="00972A5B"/>
    <w:rsid w:val="00977D42"/>
    <w:rsid w:val="009859F0"/>
    <w:rsid w:val="00991FBA"/>
    <w:rsid w:val="009956A5"/>
    <w:rsid w:val="009A5AFB"/>
    <w:rsid w:val="009C00C4"/>
    <w:rsid w:val="009C21DF"/>
    <w:rsid w:val="009C5154"/>
    <w:rsid w:val="009C52DC"/>
    <w:rsid w:val="009E08F3"/>
    <w:rsid w:val="009E438F"/>
    <w:rsid w:val="009E5CD4"/>
    <w:rsid w:val="009F4160"/>
    <w:rsid w:val="009F4F31"/>
    <w:rsid w:val="009F776D"/>
    <w:rsid w:val="00A0053A"/>
    <w:rsid w:val="00A05BAC"/>
    <w:rsid w:val="00A10FD2"/>
    <w:rsid w:val="00A12939"/>
    <w:rsid w:val="00A12E77"/>
    <w:rsid w:val="00A14461"/>
    <w:rsid w:val="00A155B7"/>
    <w:rsid w:val="00A1675C"/>
    <w:rsid w:val="00A2722F"/>
    <w:rsid w:val="00A27887"/>
    <w:rsid w:val="00A3062F"/>
    <w:rsid w:val="00A322CD"/>
    <w:rsid w:val="00A3610E"/>
    <w:rsid w:val="00A4367D"/>
    <w:rsid w:val="00A51940"/>
    <w:rsid w:val="00A529D4"/>
    <w:rsid w:val="00A54A63"/>
    <w:rsid w:val="00A97FAB"/>
    <w:rsid w:val="00AA1760"/>
    <w:rsid w:val="00AA3F89"/>
    <w:rsid w:val="00AC5882"/>
    <w:rsid w:val="00AC6BCB"/>
    <w:rsid w:val="00AD4D16"/>
    <w:rsid w:val="00AE257A"/>
    <w:rsid w:val="00B00F08"/>
    <w:rsid w:val="00B05E36"/>
    <w:rsid w:val="00B142B6"/>
    <w:rsid w:val="00B237B3"/>
    <w:rsid w:val="00B25B8A"/>
    <w:rsid w:val="00B37C8C"/>
    <w:rsid w:val="00B417D8"/>
    <w:rsid w:val="00B4339D"/>
    <w:rsid w:val="00B51D9E"/>
    <w:rsid w:val="00B62121"/>
    <w:rsid w:val="00B62BD2"/>
    <w:rsid w:val="00B67AF4"/>
    <w:rsid w:val="00B93DAF"/>
    <w:rsid w:val="00B94546"/>
    <w:rsid w:val="00B94E70"/>
    <w:rsid w:val="00B963D0"/>
    <w:rsid w:val="00BA072A"/>
    <w:rsid w:val="00BA7B78"/>
    <w:rsid w:val="00BB6904"/>
    <w:rsid w:val="00BC3054"/>
    <w:rsid w:val="00BC4E94"/>
    <w:rsid w:val="00BD2EC6"/>
    <w:rsid w:val="00BD37B4"/>
    <w:rsid w:val="00BE076E"/>
    <w:rsid w:val="00BE1C50"/>
    <w:rsid w:val="00C10C23"/>
    <w:rsid w:val="00C26835"/>
    <w:rsid w:val="00C27BBF"/>
    <w:rsid w:val="00C316CA"/>
    <w:rsid w:val="00C357A5"/>
    <w:rsid w:val="00C36DAA"/>
    <w:rsid w:val="00C370E1"/>
    <w:rsid w:val="00C50950"/>
    <w:rsid w:val="00C62313"/>
    <w:rsid w:val="00C63545"/>
    <w:rsid w:val="00C65BF1"/>
    <w:rsid w:val="00C71CC4"/>
    <w:rsid w:val="00C869A0"/>
    <w:rsid w:val="00C86B8B"/>
    <w:rsid w:val="00C86D99"/>
    <w:rsid w:val="00C87938"/>
    <w:rsid w:val="00C95678"/>
    <w:rsid w:val="00C97CFE"/>
    <w:rsid w:val="00CD0CB7"/>
    <w:rsid w:val="00CD48A5"/>
    <w:rsid w:val="00CD53E1"/>
    <w:rsid w:val="00CE1926"/>
    <w:rsid w:val="00CF028F"/>
    <w:rsid w:val="00CF76C4"/>
    <w:rsid w:val="00D23C71"/>
    <w:rsid w:val="00D24D36"/>
    <w:rsid w:val="00D3695C"/>
    <w:rsid w:val="00D406DB"/>
    <w:rsid w:val="00D468F3"/>
    <w:rsid w:val="00D530F3"/>
    <w:rsid w:val="00D54143"/>
    <w:rsid w:val="00D56E79"/>
    <w:rsid w:val="00D618E7"/>
    <w:rsid w:val="00D7471E"/>
    <w:rsid w:val="00D74A71"/>
    <w:rsid w:val="00DA13EF"/>
    <w:rsid w:val="00DB68CF"/>
    <w:rsid w:val="00DC7261"/>
    <w:rsid w:val="00DD1184"/>
    <w:rsid w:val="00DD5FFE"/>
    <w:rsid w:val="00DE27F0"/>
    <w:rsid w:val="00DF32C3"/>
    <w:rsid w:val="00E0392F"/>
    <w:rsid w:val="00E07244"/>
    <w:rsid w:val="00E120A3"/>
    <w:rsid w:val="00E45538"/>
    <w:rsid w:val="00E51B21"/>
    <w:rsid w:val="00E61B3A"/>
    <w:rsid w:val="00E63340"/>
    <w:rsid w:val="00E73D1E"/>
    <w:rsid w:val="00E96B44"/>
    <w:rsid w:val="00E97370"/>
    <w:rsid w:val="00EA5DCF"/>
    <w:rsid w:val="00EB4E05"/>
    <w:rsid w:val="00EC7350"/>
    <w:rsid w:val="00EC7626"/>
    <w:rsid w:val="00EE1CAD"/>
    <w:rsid w:val="00EE674D"/>
    <w:rsid w:val="00EE7EF6"/>
    <w:rsid w:val="00EF1207"/>
    <w:rsid w:val="00EF6254"/>
    <w:rsid w:val="00F01630"/>
    <w:rsid w:val="00F102A3"/>
    <w:rsid w:val="00F33528"/>
    <w:rsid w:val="00F33E4E"/>
    <w:rsid w:val="00F34D20"/>
    <w:rsid w:val="00F352AD"/>
    <w:rsid w:val="00F4755E"/>
    <w:rsid w:val="00F52353"/>
    <w:rsid w:val="00F54AFA"/>
    <w:rsid w:val="00F560BE"/>
    <w:rsid w:val="00F90EE5"/>
    <w:rsid w:val="00FA54AC"/>
    <w:rsid w:val="00FC02A2"/>
    <w:rsid w:val="00FC1463"/>
    <w:rsid w:val="00FC194B"/>
    <w:rsid w:val="00FC3E9E"/>
    <w:rsid w:val="00FE27E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4CB4D5-9562-4570-B243-27A5CCEB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rsid w:val="00977D42"/>
    <w:rPr>
      <w:color w:val="0000FF" w:themeColor="hyperlink"/>
      <w:u w:val="single"/>
    </w:rPr>
  </w:style>
  <w:style w:type="paragraph" w:customStyle="1" w:styleId="beznytext">
    <w:name w:val="bezny_text"/>
    <w:basedOn w:val="Normln"/>
    <w:rsid w:val="00A322C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B25B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B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25B8A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B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36BC-900B-4FCB-9661-044D4132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1</TotalTime>
  <Pages>1</Pages>
  <Words>330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 Roman</dc:creator>
  <cp:lastModifiedBy>Pham Ngoc Bich</cp:lastModifiedBy>
  <cp:revision>2</cp:revision>
  <cp:lastPrinted>2016-06-09T10:25:00Z</cp:lastPrinted>
  <dcterms:created xsi:type="dcterms:W3CDTF">2016-06-13T08:19:00Z</dcterms:created>
  <dcterms:modified xsi:type="dcterms:W3CDTF">2016-06-13T08:19:00Z</dcterms:modified>
</cp:coreProperties>
</file>