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2BDA" w14:textId="77777777" w:rsidR="006A371F" w:rsidRPr="006E1648" w:rsidRDefault="00332F4C" w:rsidP="006A371F">
      <w:pPr>
        <w:snapToGrid w:val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6E1648">
        <w:rPr>
          <w:rFonts w:asciiTheme="minorHAnsi" w:hAnsiTheme="minorHAnsi" w:cstheme="minorHAnsi"/>
          <w:b/>
          <w:sz w:val="28"/>
          <w:szCs w:val="28"/>
          <w:lang w:val="en-GB"/>
        </w:rPr>
        <w:t>2024 EU-</w:t>
      </w:r>
      <w:r w:rsidR="006A371F" w:rsidRPr="006E1648">
        <w:rPr>
          <w:rFonts w:asciiTheme="minorHAnsi" w:hAnsiTheme="minorHAnsi" w:cstheme="minorHAnsi"/>
          <w:b/>
          <w:sz w:val="28"/>
          <w:szCs w:val="28"/>
          <w:lang w:val="en-GB"/>
        </w:rPr>
        <w:t>Taiwan Investment Partnership</w:t>
      </w:r>
      <w:r w:rsidR="00AF12BF" w:rsidRPr="006E1648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6A371F" w:rsidRPr="006E1648">
        <w:rPr>
          <w:rFonts w:asciiTheme="minorHAnsi" w:hAnsiTheme="minorHAnsi" w:cstheme="minorHAnsi"/>
          <w:b/>
          <w:sz w:val="28"/>
          <w:szCs w:val="28"/>
          <w:lang w:val="en-GB"/>
        </w:rPr>
        <w:t>Forum on Green Transition</w:t>
      </w:r>
    </w:p>
    <w:p w14:paraId="17EACD15" w14:textId="1FB479A6" w:rsidR="006A371F" w:rsidRPr="006E1648" w:rsidRDefault="006A371F" w:rsidP="006A371F">
      <w:pPr>
        <w:snapToGrid w:val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6E1648">
        <w:rPr>
          <w:rFonts w:asciiTheme="minorHAnsi" w:hAnsiTheme="minorHAnsi" w:cstheme="minorHAnsi"/>
          <w:b/>
          <w:sz w:val="28"/>
          <w:szCs w:val="28"/>
          <w:lang w:val="en-GB"/>
        </w:rPr>
        <w:t>2024</w:t>
      </w:r>
      <w:r w:rsidRPr="006E1648">
        <w:rPr>
          <w:rFonts w:asciiTheme="minorHAnsi" w:hAnsiTheme="minorHAnsi" w:cstheme="minorHAnsi"/>
          <w:b/>
          <w:sz w:val="28"/>
          <w:szCs w:val="28"/>
          <w:lang w:val="en-GB"/>
        </w:rPr>
        <w:t>台歐盟綠色轉型投資合作論壇</w:t>
      </w:r>
    </w:p>
    <w:p w14:paraId="25CA51CF" w14:textId="77777777" w:rsidR="006A371F" w:rsidRPr="006E1648" w:rsidRDefault="006A371F" w:rsidP="000F7935">
      <w:pPr>
        <w:snapToGrid w:val="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DB127FF" w14:textId="361A532F" w:rsidR="006A371F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日期：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2024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年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10 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月</w:t>
      </w:r>
      <w:r w:rsidR="00121DCF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4</w:t>
      </w:r>
      <w:r w:rsidR="00121DCF" w:rsidRPr="006E1648">
        <w:rPr>
          <w:rFonts w:asciiTheme="minorHAnsi" w:hAnsiTheme="minorHAnsi" w:cstheme="minorHAnsi"/>
          <w:sz w:val="22"/>
          <w:szCs w:val="22"/>
          <w:lang w:val="en-GB"/>
        </w:rPr>
        <w:t>日（星期</w:t>
      </w:r>
      <w:r w:rsidR="00121DCF" w:rsidRPr="006E1648">
        <w:rPr>
          <w:rFonts w:asciiTheme="minorHAnsi" w:hAnsiTheme="minorHAnsi" w:cstheme="minorHAnsi"/>
          <w:sz w:val="22"/>
          <w:szCs w:val="22"/>
          <w:lang w:val="fr-BE"/>
        </w:rPr>
        <w:t>五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）</w:t>
      </w:r>
      <w:r w:rsidR="001C33EC" w:rsidRPr="006E1648">
        <w:rPr>
          <w:rFonts w:asciiTheme="minorHAnsi" w:hAnsiTheme="minorHAnsi" w:cstheme="minorHAnsi"/>
          <w:sz w:val="22"/>
          <w:szCs w:val="22"/>
          <w:lang w:val="en-GB"/>
        </w:rPr>
        <w:t>9:00-12:00</w:t>
      </w:r>
    </w:p>
    <w:p w14:paraId="70584B82" w14:textId="3AE390D0" w:rsidR="006A371F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Date:</w:t>
      </w:r>
      <w:r w:rsidR="00121DCF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Friday, 4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October 2024</w:t>
      </w:r>
      <w:r w:rsidR="001C33EC" w:rsidRPr="006E1648">
        <w:rPr>
          <w:rFonts w:asciiTheme="minorHAnsi" w:hAnsiTheme="minorHAnsi" w:cstheme="minorHAnsi"/>
          <w:sz w:val="22"/>
          <w:szCs w:val="22"/>
          <w:lang w:val="en-GB"/>
        </w:rPr>
        <w:t>, 9:00-12:00</w:t>
      </w:r>
    </w:p>
    <w:p w14:paraId="40344096" w14:textId="77777777" w:rsidR="001C33EC" w:rsidRPr="006E1648" w:rsidRDefault="001C33EC" w:rsidP="000F7935">
      <w:pPr>
        <w:jc w:val="both"/>
        <w:rPr>
          <w:rFonts w:asciiTheme="minorHAnsi" w:hAnsiTheme="minorHAnsi" w:cstheme="minorHAnsi"/>
          <w:b/>
          <w:sz w:val="12"/>
          <w:szCs w:val="12"/>
          <w:lang w:val="en-GB"/>
        </w:rPr>
      </w:pPr>
    </w:p>
    <w:p w14:paraId="0655AD52" w14:textId="0CBCC091" w:rsidR="004E03E0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地點：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台北南港展覽館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館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7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樓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701G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會議室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台北市南港區經貿路二段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號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Venue: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Room 701G (7F), Taipei Nangang Exhibition Center Hall 2 (No.2, Jingmao 2nd Rd., Nangang District, Taipei)</w:t>
      </w:r>
    </w:p>
    <w:p w14:paraId="435B5F40" w14:textId="77777777" w:rsidR="000F7935" w:rsidRPr="006E1648" w:rsidRDefault="000F7935" w:rsidP="000F7935">
      <w:pPr>
        <w:jc w:val="both"/>
        <w:rPr>
          <w:rFonts w:asciiTheme="minorHAnsi" w:hAnsiTheme="minorHAnsi" w:cstheme="minorHAnsi"/>
          <w:b/>
          <w:sz w:val="12"/>
          <w:szCs w:val="12"/>
          <w:lang w:val="en-GB"/>
        </w:rPr>
      </w:pPr>
    </w:p>
    <w:p w14:paraId="2DAFFF6A" w14:textId="1300AD5B" w:rsidR="000F7935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主辦單位：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歐洲經貿辦事處、歐盟會員國在台代表處、</w:t>
      </w:r>
      <w:r w:rsidRPr="006E1648">
        <w:rPr>
          <w:rFonts w:asciiTheme="minorHAnsi" w:hAnsiTheme="minorHAnsi" w:cstheme="minorHAnsi"/>
          <w:sz w:val="22"/>
          <w:szCs w:val="22"/>
          <w:lang w:val="fr-BE"/>
        </w:rPr>
        <w:t>經濟部</w:t>
      </w:r>
      <w:r w:rsidR="00A734D1" w:rsidRPr="006E1648">
        <w:rPr>
          <w:rFonts w:asciiTheme="minorHAnsi" w:hAnsiTheme="minorHAnsi" w:cstheme="minorHAnsi"/>
          <w:sz w:val="22"/>
          <w:szCs w:val="22"/>
          <w:lang w:val="fr-BE"/>
        </w:rPr>
        <w:t>國際貿易署</w:t>
      </w:r>
      <w:r w:rsidRPr="006E1648">
        <w:rPr>
          <w:rFonts w:asciiTheme="minorHAnsi" w:hAnsiTheme="minorHAnsi" w:cstheme="minorHAnsi"/>
          <w:sz w:val="22"/>
          <w:szCs w:val="22"/>
          <w:lang w:val="fr-BE"/>
        </w:rPr>
        <w:t>、</w:t>
      </w:r>
      <w:r w:rsidR="00A734D1" w:rsidRPr="006E1648">
        <w:rPr>
          <w:rFonts w:asciiTheme="minorHAnsi" w:hAnsiTheme="minorHAnsi" w:cstheme="minorHAnsi"/>
          <w:sz w:val="22"/>
          <w:szCs w:val="22"/>
          <w:lang w:val="fr-BE"/>
        </w:rPr>
        <w:t>經濟部能源署、經濟部產業發展署、中華民國對外貿易發展協</w:t>
      </w:r>
      <w:r w:rsidR="00B71919" w:rsidRPr="006E1648">
        <w:rPr>
          <w:rFonts w:asciiTheme="minorHAnsi" w:hAnsiTheme="minorHAnsi" w:cstheme="minorHAnsi"/>
          <w:sz w:val="22"/>
          <w:szCs w:val="22"/>
          <w:lang w:val="fr-BE"/>
        </w:rPr>
        <w:t>會</w:t>
      </w:r>
      <w:r w:rsidR="00075FE3" w:rsidRPr="006E1648">
        <w:rPr>
          <w:rFonts w:asciiTheme="minorHAnsi" w:hAnsiTheme="minorHAnsi" w:cstheme="minorHAnsi"/>
          <w:sz w:val="22"/>
          <w:szCs w:val="22"/>
          <w:lang w:val="fr-BE"/>
        </w:rPr>
        <w:t>、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SEMI</w:t>
      </w:r>
      <w:r w:rsidRPr="006E1648">
        <w:rPr>
          <w:rFonts w:asciiTheme="minorHAnsi" w:hAnsiTheme="minorHAnsi" w:cstheme="minorHAnsi"/>
          <w:sz w:val="22"/>
          <w:szCs w:val="22"/>
          <w:lang w:val="fr-BE"/>
        </w:rPr>
        <w:t>國際半導體產業協會</w:t>
      </w:r>
      <w:r w:rsidR="00A16ECF">
        <w:rPr>
          <w:rFonts w:asciiTheme="minorHAnsi" w:hAnsiTheme="minorHAnsi" w:cstheme="minorHAnsi" w:hint="eastAsia"/>
          <w:sz w:val="22"/>
          <w:szCs w:val="22"/>
          <w:lang w:val="fr-BE"/>
        </w:rPr>
        <w:t>、歐洲在臺商務協會</w:t>
      </w:r>
    </w:p>
    <w:p w14:paraId="75B6C05F" w14:textId="2B570876" w:rsidR="006A371F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Organisers: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European Economic and Trade Office (EETO), EU Member States Representative Offices in Taiwan, </w:t>
      </w:r>
      <w:r w:rsidR="00075FE3" w:rsidRPr="006E1648">
        <w:rPr>
          <w:rFonts w:asciiTheme="minorHAnsi" w:hAnsiTheme="minorHAnsi" w:cstheme="minorHAnsi"/>
          <w:sz w:val="22"/>
          <w:szCs w:val="22"/>
          <w:lang w:val="en-GB"/>
        </w:rPr>
        <w:t>International Trade Administration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85405E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TITA, 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>MOEA)</w:t>
      </w:r>
      <w:r w:rsidR="00075FE3" w:rsidRPr="006E1648">
        <w:rPr>
          <w:rFonts w:asciiTheme="minorHAnsi" w:hAnsiTheme="minorHAnsi" w:cstheme="minorHAnsi"/>
          <w:sz w:val="22"/>
          <w:szCs w:val="22"/>
          <w:lang w:val="en-GB"/>
        </w:rPr>
        <w:t>, Energy Administration</w:t>
      </w:r>
      <w:r w:rsidR="00857863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857863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EA, 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>MOEA)</w:t>
      </w:r>
      <w:r w:rsidR="00075FE3" w:rsidRPr="006E1648">
        <w:rPr>
          <w:rFonts w:asciiTheme="minorHAnsi" w:hAnsiTheme="minorHAnsi" w:cstheme="minorHAnsi"/>
          <w:sz w:val="22"/>
          <w:szCs w:val="22"/>
          <w:lang w:val="en-GB"/>
        </w:rPr>
        <w:t>, Industrial Development Administration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857863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IDA, </w:t>
      </w:r>
      <w:r w:rsidR="00B71919" w:rsidRPr="006E1648">
        <w:rPr>
          <w:rFonts w:asciiTheme="minorHAnsi" w:hAnsiTheme="minorHAnsi" w:cstheme="minorHAnsi"/>
          <w:sz w:val="22"/>
          <w:szCs w:val="22"/>
          <w:lang w:val="en-GB"/>
        </w:rPr>
        <w:t>MOEA)</w:t>
      </w:r>
      <w:r w:rsidR="00075FE3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075FE3" w:rsidRPr="006E1648">
        <w:rPr>
          <w:rFonts w:asciiTheme="minorHAnsi" w:hAnsiTheme="minorHAnsi" w:cstheme="minorHAnsi"/>
          <w:sz w:val="22"/>
          <w:szCs w:val="22"/>
        </w:rPr>
        <w:t>Taiwan External Trade Development Council</w:t>
      </w:r>
      <w:r w:rsidR="00B71919" w:rsidRPr="006E1648">
        <w:rPr>
          <w:rFonts w:asciiTheme="minorHAnsi" w:hAnsiTheme="minorHAnsi" w:cstheme="minorHAnsi"/>
          <w:sz w:val="22"/>
          <w:szCs w:val="22"/>
        </w:rPr>
        <w:t xml:space="preserve"> (TAITRA)</w:t>
      </w:r>
      <w:r w:rsidR="00075FE3" w:rsidRPr="006E1648">
        <w:rPr>
          <w:rFonts w:asciiTheme="minorHAnsi" w:hAnsiTheme="minorHAnsi" w:cstheme="minorHAnsi"/>
          <w:sz w:val="22"/>
          <w:szCs w:val="22"/>
        </w:rPr>
        <w:t xml:space="preserve">, 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SEMI</w:t>
      </w:r>
      <w:r w:rsidR="00A16ECF">
        <w:rPr>
          <w:rFonts w:asciiTheme="minorHAnsi" w:hAnsiTheme="minorHAnsi" w:cstheme="minorHAnsi"/>
          <w:sz w:val="22"/>
          <w:szCs w:val="22"/>
          <w:lang w:val="en-GB"/>
        </w:rPr>
        <w:t>, European Chamber of Commerce Taiwan (ECCT)</w:t>
      </w:r>
      <w:r w:rsidR="00075FE3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37FC33A" w14:textId="77777777" w:rsidR="000F7935" w:rsidRPr="006E1648" w:rsidRDefault="000F7935" w:rsidP="000F7935">
      <w:pPr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p w14:paraId="6420EF88" w14:textId="2F177883" w:rsidR="000F7935" w:rsidRPr="006E1648" w:rsidRDefault="000F7935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Co-organisers</w:t>
      </w:r>
      <w:r w:rsidR="00A16EC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(tbc)</w:t>
      </w: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 xml:space="preserve">: 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Green Energy and Sustainability Alliance (GESA), Taiwan Hydrogen &amp; Fuel Cell Partnership (THFCP), Taiwan Biomass Energy Industry Association (TBEIA), Taiwan Photovoltaic Industry Association (TPVIA), Taiwan Battery Association (TBA), Taiwan Ocean Energy Development Association</w:t>
      </w:r>
    </w:p>
    <w:p w14:paraId="7EFEFC43" w14:textId="6F8B7D4B" w:rsidR="006A371F" w:rsidRPr="006E1648" w:rsidRDefault="006A371F" w:rsidP="000F7935">
      <w:pPr>
        <w:jc w:val="both"/>
        <w:rPr>
          <w:rFonts w:asciiTheme="minorHAnsi" w:hAnsiTheme="minorHAnsi" w:cstheme="minorHAnsi"/>
          <w:b/>
          <w:sz w:val="22"/>
          <w:szCs w:val="22"/>
          <w:lang w:val="fr-BE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協辦單位</w:t>
      </w:r>
      <w:r w:rsidR="00A16ECF">
        <w:rPr>
          <w:rFonts w:asciiTheme="minorHAnsi" w:hAnsiTheme="minorHAnsi" w:cstheme="minorHAnsi" w:hint="eastAsia"/>
          <w:b/>
          <w:sz w:val="22"/>
          <w:szCs w:val="22"/>
          <w:lang w:val="en-GB"/>
        </w:rPr>
        <w:t xml:space="preserve"> (</w:t>
      </w:r>
      <w:r w:rsidR="00A16ECF">
        <w:rPr>
          <w:rFonts w:asciiTheme="minorHAnsi" w:hAnsiTheme="minorHAnsi" w:cstheme="minorHAnsi" w:hint="eastAsia"/>
          <w:b/>
          <w:sz w:val="22"/>
          <w:szCs w:val="22"/>
          <w:lang w:val="fr-BE"/>
        </w:rPr>
        <w:t>暫定</w:t>
      </w:r>
      <w:r w:rsidR="00A16ECF">
        <w:rPr>
          <w:rFonts w:asciiTheme="minorHAnsi" w:hAnsiTheme="minorHAnsi" w:cstheme="minorHAnsi" w:hint="eastAsia"/>
          <w:b/>
          <w:sz w:val="22"/>
          <w:szCs w:val="22"/>
          <w:lang w:val="fr-BE"/>
        </w:rPr>
        <w:t>)</w:t>
      </w: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：</w:t>
      </w:r>
      <w:r w:rsidR="000F7935" w:rsidRPr="006E1648">
        <w:rPr>
          <w:rFonts w:asciiTheme="minorHAnsi" w:hAnsiTheme="minorHAnsi" w:cstheme="minorHAnsi"/>
          <w:sz w:val="22"/>
          <w:szCs w:val="22"/>
          <w:lang w:val="en-GB"/>
        </w:rPr>
        <w:t xml:space="preserve">GESA </w:t>
      </w:r>
      <w:r w:rsidR="000F7935" w:rsidRPr="006E1648">
        <w:rPr>
          <w:rFonts w:asciiTheme="minorHAnsi" w:hAnsiTheme="minorHAnsi" w:cstheme="minorHAnsi"/>
          <w:sz w:val="22"/>
          <w:szCs w:val="22"/>
          <w:lang w:val="en-GB"/>
        </w:rPr>
        <w:t>綠能暨永續發展聯盟</w:t>
      </w:r>
      <w:r w:rsidR="000F7935" w:rsidRPr="006E1648">
        <w:rPr>
          <w:rFonts w:asciiTheme="minorHAnsi" w:hAnsiTheme="minorHAnsi" w:cstheme="minorHAnsi"/>
          <w:sz w:val="22"/>
          <w:szCs w:val="22"/>
          <w:lang w:val="fr-BE"/>
        </w:rPr>
        <w:t>、台灣氫能與燃料電池夥伴聯盟、台灣生質能源產業協會、台灣太陽能光電產業協會、台灣電池協會、台灣海洋能發展協會</w:t>
      </w:r>
    </w:p>
    <w:p w14:paraId="17208B02" w14:textId="38703951" w:rsidR="006A371F" w:rsidRPr="006E1648" w:rsidRDefault="006A371F" w:rsidP="000F793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>語言：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本活動提供中英文同步口譯</w:t>
      </w:r>
    </w:p>
    <w:p w14:paraId="295AF90A" w14:textId="1465BB2A" w:rsidR="008361FB" w:rsidRPr="006E1648" w:rsidRDefault="006A371F" w:rsidP="000F793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E1648">
        <w:rPr>
          <w:rFonts w:asciiTheme="minorHAnsi" w:hAnsiTheme="minorHAnsi" w:cstheme="minorHAnsi"/>
          <w:b/>
          <w:sz w:val="22"/>
          <w:szCs w:val="22"/>
          <w:lang w:val="en-GB"/>
        </w:rPr>
        <w:t xml:space="preserve">Language: </w:t>
      </w:r>
      <w:r w:rsidRPr="006E1648">
        <w:rPr>
          <w:rFonts w:asciiTheme="minorHAnsi" w:hAnsiTheme="minorHAnsi" w:cstheme="minorHAnsi"/>
          <w:sz w:val="22"/>
          <w:szCs w:val="22"/>
          <w:lang w:val="en-GB"/>
        </w:rPr>
        <w:t>Chinese and English with simultaneous interpretation services</w:t>
      </w:r>
    </w:p>
    <w:p w14:paraId="57E6F94D" w14:textId="44EC5522" w:rsidR="0084199D" w:rsidRPr="006E1648" w:rsidRDefault="0084199D" w:rsidP="000F7935">
      <w:pPr>
        <w:jc w:val="both"/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Style w:val="Prosttabulka1"/>
        <w:tblW w:w="9634" w:type="dxa"/>
        <w:tblLook w:val="0420" w:firstRow="1" w:lastRow="0" w:firstColumn="0" w:lastColumn="0" w:noHBand="0" w:noVBand="1"/>
      </w:tblPr>
      <w:tblGrid>
        <w:gridCol w:w="1491"/>
        <w:gridCol w:w="8143"/>
      </w:tblGrid>
      <w:tr w:rsidR="006A371F" w:rsidRPr="006E1648" w14:paraId="43EBE48E" w14:textId="77777777" w:rsidTr="00841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9634" w:type="dxa"/>
            <w:gridSpan w:val="2"/>
            <w:shd w:val="clear" w:color="auto" w:fill="5B9BD5" w:themeFill="accent1"/>
            <w:hideMark/>
          </w:tcPr>
          <w:p w14:paraId="4A5BEEFB" w14:textId="6B3BAA91" w:rsidR="006A371F" w:rsidRPr="006E1648" w:rsidRDefault="00B71919" w:rsidP="0084199D">
            <w:pPr>
              <w:widowControl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fr-BE"/>
              </w:rPr>
            </w:pPr>
            <w:r w:rsidRPr="006E1648">
              <w:rPr>
                <w:rFonts w:asciiTheme="minorHAnsi" w:hAnsiTheme="minorHAnsi" w:cstheme="minorHAnsi"/>
                <w:bCs w:val="0"/>
                <w:sz w:val="22"/>
                <w:szCs w:val="22"/>
                <w:lang w:val="fr-BE"/>
              </w:rPr>
              <w:t xml:space="preserve">Tentative </w:t>
            </w:r>
            <w:r w:rsidR="006A371F" w:rsidRPr="006E1648">
              <w:rPr>
                <w:rFonts w:asciiTheme="minorHAnsi" w:hAnsiTheme="minorHAnsi" w:cstheme="minorHAnsi"/>
                <w:bCs w:val="0"/>
                <w:sz w:val="22"/>
                <w:szCs w:val="22"/>
                <w:lang w:val="fr-BE"/>
              </w:rPr>
              <w:t>Agenda</w:t>
            </w:r>
            <w:r w:rsidR="0084199D" w:rsidRPr="006E1648">
              <w:rPr>
                <w:rFonts w:asciiTheme="minorHAnsi" w:hAnsiTheme="minorHAnsi" w:cstheme="minorHAnsi"/>
                <w:bCs w:val="0"/>
                <w:sz w:val="22"/>
                <w:szCs w:val="22"/>
                <w:lang w:val="fr-BE"/>
              </w:rPr>
              <w:t>暫定議程</w:t>
            </w:r>
          </w:p>
        </w:tc>
      </w:tr>
      <w:tr w:rsidR="006A371F" w:rsidRPr="006E1648" w14:paraId="2A3825CE" w14:textId="77777777" w:rsidTr="0084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91" w:type="dxa"/>
            <w:hideMark/>
          </w:tcPr>
          <w:p w14:paraId="4BABFF77" w14:textId="77777777" w:rsidR="006A371F" w:rsidRPr="006E1648" w:rsidRDefault="006A371F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8:30-9:00</w:t>
            </w:r>
          </w:p>
        </w:tc>
        <w:tc>
          <w:tcPr>
            <w:tcW w:w="8143" w:type="dxa"/>
            <w:hideMark/>
          </w:tcPr>
          <w:p w14:paraId="207456F1" w14:textId="67240D28" w:rsidR="006A371F" w:rsidRPr="006E1648" w:rsidRDefault="006A371F" w:rsidP="004C1F06">
            <w:pPr>
              <w:widowControl/>
              <w:snapToGrid w:val="0"/>
              <w:spacing w:line="256" w:lineRule="auto"/>
              <w:jc w:val="both"/>
              <w:rPr>
                <w:rFonts w:asciiTheme="minorHAnsi" w:eastAsia="PMingLiU" w:hAnsiTheme="minorHAnsi" w:cstheme="minorHAnsi"/>
                <w:b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 xml:space="preserve">Registration </w:t>
            </w:r>
            <w:r w:rsidR="00D66C7C"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報到</w:t>
            </w:r>
          </w:p>
        </w:tc>
      </w:tr>
      <w:tr w:rsidR="006A371F" w:rsidRPr="006E1648" w14:paraId="6249EA9A" w14:textId="77777777" w:rsidTr="0084199D">
        <w:trPr>
          <w:trHeight w:val="1396"/>
        </w:trPr>
        <w:tc>
          <w:tcPr>
            <w:tcW w:w="1491" w:type="dxa"/>
            <w:hideMark/>
          </w:tcPr>
          <w:p w14:paraId="470F29E6" w14:textId="77777777" w:rsidR="006A371F" w:rsidRPr="006E1648" w:rsidRDefault="006A371F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9:00-9:15</w:t>
            </w:r>
          </w:p>
        </w:tc>
        <w:tc>
          <w:tcPr>
            <w:tcW w:w="8143" w:type="dxa"/>
            <w:hideMark/>
          </w:tcPr>
          <w:p w14:paraId="2BC74322" w14:textId="15BF2AB2" w:rsidR="006A371F" w:rsidRPr="006E1648" w:rsidRDefault="006A371F" w:rsidP="004C1F06">
            <w:pPr>
              <w:widowControl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>Opening Remarks</w:t>
            </w:r>
            <w:r w:rsidR="00D66C7C"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 xml:space="preserve"> </w:t>
            </w:r>
            <w:r w:rsidR="00D66C7C"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>開幕致詞</w:t>
            </w:r>
          </w:p>
          <w:p w14:paraId="4D3EDE48" w14:textId="2A523A76" w:rsidR="00533D22" w:rsidRPr="006E1648" w:rsidRDefault="00533D22" w:rsidP="00533D2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Lutz Guellner, Head of European Economic and Trade Office</w:t>
            </w:r>
          </w:p>
          <w:p w14:paraId="1C24D9AC" w14:textId="7478670E" w:rsidR="00533D22" w:rsidRPr="006E1648" w:rsidRDefault="00533D22" w:rsidP="00533D2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Kuo Jyh Huei, Minister of Economic Affairs (tbc)</w:t>
            </w:r>
          </w:p>
          <w:p w14:paraId="4A1684D0" w14:textId="77777777" w:rsidR="008361FB" w:rsidRPr="006E1648" w:rsidRDefault="008361FB" w:rsidP="00533D22">
            <w:pPr>
              <w:contextualSpacing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2C95EE2" w14:textId="33A74E6A" w:rsidR="006A371F" w:rsidRPr="006E1648" w:rsidRDefault="006A371F" w:rsidP="004C1F06">
            <w:pPr>
              <w:widowControl/>
              <w:snapToGrid w:val="0"/>
              <w:spacing w:line="256" w:lineRule="auto"/>
              <w:jc w:val="both"/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>Group Photo</w:t>
            </w:r>
            <w:r w:rsidR="00D66C7C"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 xml:space="preserve"> </w:t>
            </w:r>
            <w:r w:rsidR="00D66C7C" w:rsidRPr="006E1648">
              <w:rPr>
                <w:rFonts w:asciiTheme="minorHAnsi" w:hAnsiTheme="minorHAnsi" w:cstheme="minorHAnsi"/>
                <w:b/>
                <w:bCs/>
                <w:color w:val="000000"/>
                <w:kern w:val="24"/>
                <w:sz w:val="22"/>
                <w:szCs w:val="22"/>
                <w:lang w:val="en-GB"/>
              </w:rPr>
              <w:t>團體照</w:t>
            </w:r>
          </w:p>
        </w:tc>
      </w:tr>
      <w:tr w:rsidR="006A371F" w:rsidRPr="006E1648" w14:paraId="710B944E" w14:textId="77777777" w:rsidTr="0084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tcW w:w="1491" w:type="dxa"/>
            <w:hideMark/>
          </w:tcPr>
          <w:p w14:paraId="48BA025E" w14:textId="77777777" w:rsidR="006A371F" w:rsidRPr="006E1648" w:rsidRDefault="006A371F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9:15-9:35</w:t>
            </w:r>
          </w:p>
        </w:tc>
        <w:tc>
          <w:tcPr>
            <w:tcW w:w="8143" w:type="dxa"/>
            <w:hideMark/>
          </w:tcPr>
          <w:p w14:paraId="22F9A39F" w14:textId="3A298EDB" w:rsidR="006A371F" w:rsidRPr="006E1648" w:rsidRDefault="006A371F" w:rsidP="004C1F06">
            <w:pPr>
              <w:widowControl/>
              <w:snapToGrid w:val="0"/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 xml:space="preserve">Keynote Speech </w:t>
            </w:r>
            <w:r w:rsidR="00D66C7C"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專題演講</w:t>
            </w:r>
          </w:p>
          <w:p w14:paraId="79A51B3C" w14:textId="6F620DB3" w:rsidR="00533D22" w:rsidRPr="006E1648" w:rsidRDefault="00B71919" w:rsidP="00533D2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Topic:</w:t>
            </w:r>
            <w:r w:rsidR="00533D22" w:rsidRPr="006E1648">
              <w:rPr>
                <w:rFonts w:asciiTheme="minorHAnsi" w:hAnsiTheme="minorHAnsi" w:cstheme="minorHAnsi"/>
                <w:sz w:val="22"/>
                <w:szCs w:val="22"/>
              </w:rPr>
              <w:t>Taiwan Cement green transformation strategy in Europe</w:t>
            </w:r>
            <w:r w:rsidR="00533D22" w:rsidRPr="006E164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5BCA4D0" w14:textId="1743E907" w:rsidR="006A371F" w:rsidRPr="006E1648" w:rsidRDefault="006A371F" w:rsidP="00533D22">
            <w:pPr>
              <w:ind w:left="1440" w:hanging="1440"/>
              <w:contextualSpacing/>
              <w:rPr>
                <w:rFonts w:asciiTheme="minorHAnsi" w:hAnsiTheme="minorHAnsi" w:cstheme="minorHAnsi"/>
                <w:i/>
                <w:color w:val="000000"/>
                <w:kern w:val="24"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Speaker</w:t>
            </w: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 xml:space="preserve">: </w:t>
            </w:r>
            <w:r w:rsidR="00B71919" w:rsidRPr="006E1648">
              <w:rPr>
                <w:rFonts w:asciiTheme="minorHAnsi" w:hAnsiTheme="minorHAnsi" w:cstheme="minorHAnsi"/>
                <w:sz w:val="22"/>
                <w:szCs w:val="22"/>
              </w:rPr>
              <w:t>Nelson Chang, CEO of</w:t>
            </w:r>
            <w:r w:rsidR="00533D22" w:rsidRPr="006E1648">
              <w:rPr>
                <w:rFonts w:asciiTheme="minorHAnsi" w:hAnsiTheme="minorHAnsi" w:cstheme="minorHAnsi"/>
                <w:sz w:val="22"/>
                <w:szCs w:val="22"/>
              </w:rPr>
              <w:t xml:space="preserve"> Taiwan Cement</w:t>
            </w:r>
            <w:r w:rsidR="00B71919" w:rsidRPr="006E16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705" w:rsidRPr="006E1648">
              <w:rPr>
                <w:rFonts w:asciiTheme="minorHAnsi" w:hAnsiTheme="minorHAnsi" w:cstheme="minorHAnsi"/>
                <w:sz w:val="22"/>
                <w:szCs w:val="22"/>
              </w:rPr>
              <w:t>Corporation</w:t>
            </w:r>
            <w:r w:rsidR="00533D22" w:rsidRPr="006E1648">
              <w:rPr>
                <w:rFonts w:asciiTheme="minorHAnsi" w:hAnsiTheme="minorHAnsi" w:cstheme="minorHAnsi"/>
                <w:sz w:val="22"/>
                <w:szCs w:val="22"/>
              </w:rPr>
              <w:t xml:space="preserve"> (tbc)</w:t>
            </w:r>
          </w:p>
        </w:tc>
      </w:tr>
      <w:tr w:rsidR="00626B9A" w:rsidRPr="006E1648" w14:paraId="224A5F65" w14:textId="77777777" w:rsidTr="0084199D">
        <w:trPr>
          <w:trHeight w:val="496"/>
        </w:trPr>
        <w:tc>
          <w:tcPr>
            <w:tcW w:w="9634" w:type="dxa"/>
            <w:gridSpan w:val="2"/>
            <w:shd w:val="clear" w:color="auto" w:fill="B4C6E7" w:themeFill="accent5" w:themeFillTint="66"/>
          </w:tcPr>
          <w:p w14:paraId="7F2E9919" w14:textId="51100328" w:rsidR="008361FB" w:rsidRPr="006E1648" w:rsidRDefault="00626B9A" w:rsidP="008361FB">
            <w:pPr>
              <w:widowControl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b/>
                <w:sz w:val="22"/>
                <w:szCs w:val="22"/>
              </w:rPr>
              <w:t>Session One</w:t>
            </w:r>
          </w:p>
          <w:p w14:paraId="35874AB9" w14:textId="5498A63F" w:rsidR="00626B9A" w:rsidRPr="006E1648" w:rsidRDefault="00626B9A" w:rsidP="008361FB">
            <w:pPr>
              <w:widowControl/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sz w:val="22"/>
                <w:szCs w:val="22"/>
              </w:rPr>
              <w:t>Empowering the Future: Innovations and Collaborations in Energy Generation</w:t>
            </w:r>
          </w:p>
        </w:tc>
      </w:tr>
      <w:tr w:rsidR="006A371F" w:rsidRPr="006E1648" w14:paraId="7EE52490" w14:textId="77777777" w:rsidTr="0084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tcW w:w="1491" w:type="dxa"/>
          </w:tcPr>
          <w:p w14:paraId="64455EE2" w14:textId="7F3FA2F4" w:rsidR="006A371F" w:rsidRPr="006E1648" w:rsidRDefault="00626B9A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9:35-10:5</w:t>
            </w:r>
            <w:r w:rsidR="00533D22"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5</w:t>
            </w:r>
          </w:p>
        </w:tc>
        <w:tc>
          <w:tcPr>
            <w:tcW w:w="8143" w:type="dxa"/>
          </w:tcPr>
          <w:p w14:paraId="1F0F5A6C" w14:textId="27622968" w:rsidR="00533D22" w:rsidRPr="006E1648" w:rsidRDefault="00533D22" w:rsidP="00533D22">
            <w:pPr>
              <w:widowControl/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Speaker: Representatives from companies/clusters in the EU</w:t>
            </w:r>
          </w:p>
          <w:p w14:paraId="2B0C9696" w14:textId="77777777" w:rsidR="00533D22" w:rsidRPr="006E1648" w:rsidRDefault="00533D22" w:rsidP="00533D22">
            <w:pPr>
              <w:pStyle w:val="Odstavecseseznamem"/>
              <w:widowControl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Hydrogen</w:t>
            </w:r>
          </w:p>
          <w:p w14:paraId="1CF9B88F" w14:textId="77777777" w:rsidR="00533D22" w:rsidRPr="006E1648" w:rsidRDefault="00533D22" w:rsidP="00533D22">
            <w:pPr>
              <w:pStyle w:val="Odstavecseseznamem"/>
              <w:widowControl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Geothermal power</w:t>
            </w:r>
          </w:p>
          <w:p w14:paraId="332A050A" w14:textId="36051865" w:rsidR="00533D22" w:rsidRPr="006E1648" w:rsidRDefault="00533D22" w:rsidP="00533D22">
            <w:pPr>
              <w:pStyle w:val="Odstavecseseznamem"/>
              <w:widowControl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Ocean power</w:t>
            </w:r>
          </w:p>
          <w:p w14:paraId="4E3755BE" w14:textId="77777777" w:rsidR="00533D22" w:rsidRPr="006E1648" w:rsidRDefault="002B4048" w:rsidP="002B4048">
            <w:pPr>
              <w:pStyle w:val="Odstavecseseznamem"/>
              <w:widowControl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Offshore wind power</w:t>
            </w:r>
          </w:p>
          <w:p w14:paraId="5455E954" w14:textId="0204AF9F" w:rsidR="00626B9A" w:rsidRPr="006E1648" w:rsidRDefault="00626B9A" w:rsidP="00626B9A">
            <w:pPr>
              <w:widowControl/>
              <w:snapToGrid w:val="0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FF0000"/>
                <w:kern w:val="24"/>
                <w:sz w:val="22"/>
                <w:szCs w:val="22"/>
                <w:lang w:val="en-GB"/>
              </w:rPr>
              <w:t>Note: Max. two speakers for each sector</w:t>
            </w:r>
          </w:p>
        </w:tc>
      </w:tr>
      <w:tr w:rsidR="00626B9A" w:rsidRPr="006E1648" w14:paraId="55EBAAB8" w14:textId="77777777" w:rsidTr="0084199D">
        <w:trPr>
          <w:trHeight w:val="496"/>
        </w:trPr>
        <w:tc>
          <w:tcPr>
            <w:tcW w:w="9634" w:type="dxa"/>
            <w:gridSpan w:val="2"/>
            <w:shd w:val="clear" w:color="auto" w:fill="B4C6E7" w:themeFill="accent5" w:themeFillTint="66"/>
          </w:tcPr>
          <w:p w14:paraId="4A55B1F3" w14:textId="77777777" w:rsidR="008361FB" w:rsidRPr="006E1648" w:rsidRDefault="00626B9A" w:rsidP="00626B9A">
            <w:pPr>
              <w:widowControl/>
              <w:snapToGrid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 xml:space="preserve">Session Two </w:t>
            </w:r>
          </w:p>
          <w:p w14:paraId="1B38323A" w14:textId="5CF1FBCC" w:rsidR="00626B9A" w:rsidRPr="006E1648" w:rsidRDefault="00626B9A" w:rsidP="00626B9A">
            <w:pPr>
              <w:widowControl/>
              <w:snapToGrid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sz w:val="22"/>
                <w:szCs w:val="22"/>
              </w:rPr>
              <w:t>Advancing Net Zero Goals: Energy-Saving, Carbon-Reduction Technologies, and Smart Grid Solutions</w:t>
            </w:r>
          </w:p>
        </w:tc>
      </w:tr>
      <w:tr w:rsidR="002B4048" w:rsidRPr="006E1648" w14:paraId="376FB144" w14:textId="77777777" w:rsidTr="0084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tcW w:w="1491" w:type="dxa"/>
          </w:tcPr>
          <w:p w14:paraId="66164DD6" w14:textId="0C5456C5" w:rsidR="002B4048" w:rsidRPr="006E1648" w:rsidRDefault="00626B9A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10:55-11:35</w:t>
            </w:r>
          </w:p>
        </w:tc>
        <w:tc>
          <w:tcPr>
            <w:tcW w:w="8143" w:type="dxa"/>
          </w:tcPr>
          <w:p w14:paraId="4C8A4584" w14:textId="77777777" w:rsidR="00626B9A" w:rsidRPr="006E1648" w:rsidRDefault="00626B9A" w:rsidP="00626B9A">
            <w:pPr>
              <w:widowControl/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  <w:t>Speaker: Representatives from companies/clusters in the EU</w:t>
            </w:r>
          </w:p>
          <w:p w14:paraId="32FC3503" w14:textId="4937E224" w:rsidR="002B4048" w:rsidRPr="006E1648" w:rsidRDefault="002B4048" w:rsidP="002B4048">
            <w:pPr>
              <w:pStyle w:val="Odstavecseseznamem"/>
              <w:widowControl/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sz w:val="22"/>
                <w:szCs w:val="22"/>
              </w:rPr>
              <w:t>Energy-saving and carbon-reduction Technologies</w:t>
            </w:r>
          </w:p>
          <w:p w14:paraId="108A797A" w14:textId="77777777" w:rsidR="002B4048" w:rsidRPr="006E1648" w:rsidRDefault="002B4048" w:rsidP="002B4048">
            <w:pPr>
              <w:pStyle w:val="Odstavecseseznamem"/>
              <w:widowControl/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b/>
                <w:color w:val="000000"/>
                <w:kern w:val="24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Smart grid</w:t>
            </w:r>
          </w:p>
          <w:p w14:paraId="00B4E988" w14:textId="2B62F871" w:rsidR="002B4048" w:rsidRPr="006E1648" w:rsidRDefault="002B4048" w:rsidP="002B4048">
            <w:pPr>
              <w:widowControl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1648">
              <w:rPr>
                <w:rFonts w:asciiTheme="minorHAnsi" w:hAnsiTheme="minorHAnsi" w:cstheme="minorHAnsi"/>
                <w:color w:val="FF0000"/>
                <w:kern w:val="24"/>
                <w:sz w:val="22"/>
                <w:szCs w:val="22"/>
                <w:lang w:val="en-GB"/>
              </w:rPr>
              <w:t>Note: Max. two speakers for each sector</w:t>
            </w:r>
          </w:p>
        </w:tc>
      </w:tr>
      <w:tr w:rsidR="006A371F" w:rsidRPr="006E1648" w14:paraId="02239341" w14:textId="77777777" w:rsidTr="0084199D">
        <w:trPr>
          <w:trHeight w:val="340"/>
        </w:trPr>
        <w:tc>
          <w:tcPr>
            <w:tcW w:w="1491" w:type="dxa"/>
            <w:hideMark/>
          </w:tcPr>
          <w:p w14:paraId="0000E71E" w14:textId="366F1A9E" w:rsidR="006A371F" w:rsidRPr="006E1648" w:rsidRDefault="00626B9A" w:rsidP="004C1F06">
            <w:pPr>
              <w:widowControl/>
              <w:snapToGrid w:val="0"/>
              <w:spacing w:line="256" w:lineRule="auto"/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</w:pPr>
            <w:r w:rsidRPr="006E1648">
              <w:rPr>
                <w:rFonts w:asciiTheme="minorHAnsi" w:hAnsiTheme="minorHAnsi" w:cstheme="minorHAnsi"/>
                <w:color w:val="000000"/>
                <w:kern w:val="24"/>
                <w:sz w:val="22"/>
                <w:szCs w:val="22"/>
                <w:lang w:val="en-GB"/>
              </w:rPr>
              <w:t>11:35-12:15</w:t>
            </w:r>
          </w:p>
        </w:tc>
        <w:tc>
          <w:tcPr>
            <w:tcW w:w="8143" w:type="dxa"/>
          </w:tcPr>
          <w:p w14:paraId="46DE4C6B" w14:textId="4A356EE5" w:rsidR="006A371F" w:rsidRPr="006E1648" w:rsidRDefault="00E7595E" w:rsidP="004C1F06">
            <w:pPr>
              <w:widowControl/>
              <w:snapToGrid w:val="0"/>
              <w:spacing w:line="256" w:lineRule="auto"/>
              <w:rPr>
                <w:rFonts w:asciiTheme="minorHAnsi" w:eastAsia="PMingLiU" w:hAnsiTheme="minorHAnsi" w:cstheme="minorHAnsi"/>
                <w:b/>
                <w:sz w:val="22"/>
                <w:szCs w:val="22"/>
                <w:lang w:val="en-GB"/>
              </w:rPr>
            </w:pPr>
            <w:r w:rsidRPr="006E1648">
              <w:rPr>
                <w:rFonts w:asciiTheme="minorHAnsi" w:eastAsia="PMingLiU" w:hAnsiTheme="minorHAnsi" w:cstheme="minorHAnsi"/>
                <w:b/>
                <w:sz w:val="22"/>
                <w:szCs w:val="22"/>
                <w:lang w:val="en-GB"/>
              </w:rPr>
              <w:t>Panel discussion</w:t>
            </w:r>
            <w:r w:rsidR="00D66C7C" w:rsidRPr="006E1648">
              <w:rPr>
                <w:rFonts w:asciiTheme="minorHAnsi" w:eastAsia="PMingLiU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D66C7C" w:rsidRPr="006E1648">
              <w:rPr>
                <w:rFonts w:asciiTheme="minorHAnsi" w:eastAsia="PMingLiU" w:hAnsiTheme="minorHAnsi" w:cstheme="minorHAnsi"/>
                <w:b/>
                <w:sz w:val="22"/>
                <w:szCs w:val="22"/>
                <w:lang w:val="en-GB"/>
              </w:rPr>
              <w:t>專家座談</w:t>
            </w:r>
          </w:p>
          <w:p w14:paraId="3DAF1E20" w14:textId="7214600A" w:rsidR="00B71919" w:rsidRPr="006E1648" w:rsidRDefault="003E63E2" w:rsidP="003E63E2">
            <w:pPr>
              <w:widowControl/>
              <w:snapToGrid w:val="0"/>
              <w:spacing w:line="256" w:lineRule="auto"/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</w:pPr>
            <w:r w:rsidRPr="006E1648">
              <w:rPr>
                <w:rFonts w:asciiTheme="minorHAnsi" w:eastAsia="PMingLiU" w:hAnsiTheme="minorHAnsi" w:cstheme="minorHAnsi"/>
                <w:sz w:val="22"/>
                <w:szCs w:val="22"/>
                <w:lang w:val="en-GB"/>
              </w:rPr>
              <w:t>Moderator: Jules Chuang, ECCT Energy &amp; Environment Committee Co-chair (tbc)</w:t>
            </w:r>
          </w:p>
        </w:tc>
      </w:tr>
    </w:tbl>
    <w:p w14:paraId="0B32BF9A" w14:textId="13CAC3B1" w:rsidR="007418E4" w:rsidRPr="006E1648" w:rsidRDefault="007418E4" w:rsidP="006E1648">
      <w:pPr>
        <w:tabs>
          <w:tab w:val="left" w:pos="2400"/>
        </w:tabs>
        <w:rPr>
          <w:rFonts w:asciiTheme="minorHAnsi" w:hAnsiTheme="minorHAnsi" w:cstheme="minorHAnsi"/>
        </w:rPr>
      </w:pPr>
    </w:p>
    <w:sectPr w:rsidR="001751F5" w:rsidRPr="006E1648" w:rsidSect="00A16ECF">
      <w:pgSz w:w="11906" w:h="16838"/>
      <w:pgMar w:top="709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066E"/>
    <w:multiLevelType w:val="hybridMultilevel"/>
    <w:tmpl w:val="0756E108"/>
    <w:lvl w:ilvl="0" w:tplc="8062A860">
      <w:numFmt w:val="bullet"/>
      <w:lvlText w:val=""/>
      <w:lvlJc w:val="left"/>
      <w:pPr>
        <w:ind w:left="720" w:hanging="360"/>
      </w:pPr>
      <w:rPr>
        <w:rFonts w:ascii="Symbol" w:eastAsia="Microsoft JhengHe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64445"/>
    <w:multiLevelType w:val="hybridMultilevel"/>
    <w:tmpl w:val="B078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6EA2"/>
    <w:multiLevelType w:val="hybridMultilevel"/>
    <w:tmpl w:val="B078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364C"/>
    <w:multiLevelType w:val="hybridMultilevel"/>
    <w:tmpl w:val="94E22830"/>
    <w:lvl w:ilvl="0" w:tplc="1CEA854E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16847">
    <w:abstractNumId w:val="3"/>
  </w:num>
  <w:num w:numId="2" w16cid:durableId="425738314">
    <w:abstractNumId w:val="1"/>
  </w:num>
  <w:num w:numId="3" w16cid:durableId="200170155">
    <w:abstractNumId w:val="0"/>
  </w:num>
  <w:num w:numId="4" w16cid:durableId="66042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A371F"/>
    <w:rsid w:val="00075FE3"/>
    <w:rsid w:val="000D57A4"/>
    <w:rsid w:val="000F7935"/>
    <w:rsid w:val="00121DCF"/>
    <w:rsid w:val="001C33EC"/>
    <w:rsid w:val="002B4048"/>
    <w:rsid w:val="00332F4C"/>
    <w:rsid w:val="00335B19"/>
    <w:rsid w:val="003E63E2"/>
    <w:rsid w:val="004E03E0"/>
    <w:rsid w:val="00533D22"/>
    <w:rsid w:val="00582A1E"/>
    <w:rsid w:val="00600E8E"/>
    <w:rsid w:val="00626B9A"/>
    <w:rsid w:val="006A371F"/>
    <w:rsid w:val="006B245D"/>
    <w:rsid w:val="006C7389"/>
    <w:rsid w:val="006E1648"/>
    <w:rsid w:val="007418E4"/>
    <w:rsid w:val="008361FB"/>
    <w:rsid w:val="0084199D"/>
    <w:rsid w:val="0085405E"/>
    <w:rsid w:val="00857863"/>
    <w:rsid w:val="00A16ECF"/>
    <w:rsid w:val="00A734D1"/>
    <w:rsid w:val="00AF12BF"/>
    <w:rsid w:val="00AF2D31"/>
    <w:rsid w:val="00B34A8A"/>
    <w:rsid w:val="00B71919"/>
    <w:rsid w:val="00B77B69"/>
    <w:rsid w:val="00D2656E"/>
    <w:rsid w:val="00D66C7C"/>
    <w:rsid w:val="00E65DF7"/>
    <w:rsid w:val="00E7595E"/>
    <w:rsid w:val="00EA1EE9"/>
    <w:rsid w:val="00F01705"/>
    <w:rsid w:val="00F1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05DA"/>
  <w15:chartTrackingRefBased/>
  <w15:docId w15:val="{8D021FC5-5860-4F92-BC76-90A14C32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71F"/>
    <w:pPr>
      <w:widowControl w:val="0"/>
      <w:spacing w:after="0" w:line="240" w:lineRule="auto"/>
    </w:pPr>
    <w:rPr>
      <w:rFonts w:ascii="Microsoft JhengHei" w:eastAsia="Microsoft JhengHei" w:hAnsi="Microsoft JhengHe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371F"/>
    <w:pPr>
      <w:widowControl/>
      <w:spacing w:before="100" w:beforeAutospacing="1" w:after="100" w:afterAutospacing="1"/>
    </w:pPr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6A371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A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73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73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7389"/>
    <w:rPr>
      <w:rFonts w:ascii="Microsoft JhengHei" w:eastAsia="Microsoft JhengHei" w:hAnsi="Microsoft JhengHe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73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7389"/>
    <w:rPr>
      <w:rFonts w:ascii="Microsoft JhengHei" w:eastAsia="Microsoft JhengHei" w:hAnsi="Microsoft JhengHei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89"/>
    <w:rPr>
      <w:rFonts w:ascii="Segoe UI" w:eastAsia="Microsoft JhengHei" w:hAnsi="Segoe UI" w:cs="Segoe UI"/>
      <w:sz w:val="18"/>
      <w:szCs w:val="18"/>
      <w:lang w:val="en-US"/>
    </w:rPr>
  </w:style>
  <w:style w:type="table" w:styleId="Prosttabulka1">
    <w:name w:val="Plain Table 1"/>
    <w:basedOn w:val="Normlntabulka"/>
    <w:uiPriority w:val="41"/>
    <w:rsid w:val="00D66C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Pai-Hsueh (EEAS-TAIPEI)</dc:creator>
  <cp:keywords/>
  <dc:description/>
  <cp:lastModifiedBy>Kateřina HEINISCHOVÁ</cp:lastModifiedBy>
  <cp:revision>2</cp:revision>
  <dcterms:created xsi:type="dcterms:W3CDTF">2024-08-05T04:37:00Z</dcterms:created>
  <dcterms:modified xsi:type="dcterms:W3CDTF">2024-08-05T04:37:00Z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2024-08-05T04:37:16Z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5b68a65c-3c76-4760-b8a1-7195487e9aeb</vt:lpwstr>
  </property>
  <property fmtid="{D5CDD505-2E9C-101B-9397-08002B2CF9AE}" pid="8" name="MSIP_Label_b3564849-fbfc-4795-ad59-055bb350645f_ContentBits">
    <vt:lpwstr>0</vt:lpwstr>
  </property>
</Properties>
</file>