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26" w:rsidRPr="0085043A" w:rsidRDefault="00386195" w:rsidP="00DD5CE1">
      <w:pPr>
        <w:overflowPunct w:val="0"/>
        <w:autoSpaceDE w:val="0"/>
        <w:autoSpaceDN w:val="0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Konference </w:t>
      </w:r>
      <w:r w:rsidR="003E5331">
        <w:rPr>
          <w:rFonts w:asciiTheme="minorHAnsi" w:hAnsiTheme="minorHAnsi"/>
          <w:b/>
          <w:sz w:val="22"/>
          <w:szCs w:val="22"/>
          <w:u w:val="single"/>
        </w:rPr>
        <w:t>„Novela Energetického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zákon</w:t>
      </w:r>
      <w:r w:rsidR="003E5331">
        <w:rPr>
          <w:rFonts w:asciiTheme="minorHAnsi" w:hAnsiTheme="minorHAnsi"/>
          <w:b/>
          <w:sz w:val="22"/>
          <w:szCs w:val="22"/>
          <w:u w:val="single"/>
        </w:rPr>
        <w:t>a a energetická bezpečnost“</w:t>
      </w:r>
    </w:p>
    <w:p w:rsidR="00402621" w:rsidRPr="00A63332" w:rsidRDefault="00402621" w:rsidP="00DD5CE1">
      <w:pPr>
        <w:overflowPunct w:val="0"/>
        <w:autoSpaceDE w:val="0"/>
        <w:autoSpaceDN w:val="0"/>
        <w:rPr>
          <w:rFonts w:asciiTheme="minorHAnsi" w:hAnsiTheme="minorHAnsi"/>
          <w:b/>
          <w:sz w:val="22"/>
          <w:szCs w:val="22"/>
          <w:u w:val="single"/>
        </w:rPr>
      </w:pPr>
    </w:p>
    <w:p w:rsidR="00EC1ADA" w:rsidRPr="00EC1ADA" w:rsidRDefault="00386195" w:rsidP="00DD5CE1">
      <w:pPr>
        <w:rPr>
          <w:rFonts w:ascii="Calibri" w:eastAsiaTheme="minorHAnsi" w:hAnsi="Calibri"/>
          <w:sz w:val="22"/>
          <w:szCs w:val="22"/>
        </w:rPr>
      </w:pPr>
      <w:r>
        <w:rPr>
          <w:rFonts w:ascii="Calibri" w:eastAsiaTheme="minorHAnsi" w:hAnsi="Calibri"/>
          <w:sz w:val="22"/>
          <w:szCs w:val="22"/>
        </w:rPr>
        <w:t>Dne 17. 4</w:t>
      </w:r>
      <w:r w:rsidR="00C54C7D">
        <w:rPr>
          <w:rFonts w:ascii="Calibri" w:eastAsiaTheme="minorHAnsi" w:hAnsi="Calibri"/>
          <w:sz w:val="22"/>
          <w:szCs w:val="22"/>
        </w:rPr>
        <w:t>. 2015</w:t>
      </w:r>
      <w:r w:rsidR="00C54C7D" w:rsidRPr="00EC1ADA">
        <w:rPr>
          <w:rFonts w:ascii="Calibri" w:eastAsiaTheme="minorHAnsi" w:hAnsi="Calibri"/>
          <w:sz w:val="22"/>
          <w:szCs w:val="22"/>
        </w:rPr>
        <w:t xml:space="preserve"> </w:t>
      </w:r>
      <w:r>
        <w:rPr>
          <w:rFonts w:ascii="Calibri" w:eastAsiaTheme="minorHAnsi" w:hAnsi="Calibri"/>
          <w:sz w:val="22"/>
          <w:szCs w:val="22"/>
        </w:rPr>
        <w:t xml:space="preserve">uspořádala mediální skupina MAFRA konferenci s názvem </w:t>
      </w:r>
      <w:r w:rsidR="003E5331">
        <w:rPr>
          <w:rFonts w:ascii="Calibri" w:eastAsiaTheme="minorHAnsi" w:hAnsi="Calibri"/>
          <w:sz w:val="22"/>
          <w:szCs w:val="22"/>
        </w:rPr>
        <w:t>N</w:t>
      </w:r>
      <w:r>
        <w:rPr>
          <w:rFonts w:ascii="Calibri" w:eastAsiaTheme="minorHAnsi" w:hAnsi="Calibri"/>
          <w:sz w:val="22"/>
          <w:szCs w:val="22"/>
        </w:rPr>
        <w:t>ovela Energetického zákona</w:t>
      </w:r>
      <w:r w:rsidR="003E5331">
        <w:rPr>
          <w:rFonts w:ascii="Calibri" w:eastAsiaTheme="minorHAnsi" w:hAnsi="Calibri"/>
          <w:sz w:val="22"/>
          <w:szCs w:val="22"/>
        </w:rPr>
        <w:t xml:space="preserve"> a Energetická bezpečnost</w:t>
      </w:r>
      <w:r>
        <w:rPr>
          <w:rFonts w:ascii="Calibri" w:eastAsiaTheme="minorHAnsi" w:hAnsi="Calibri"/>
          <w:sz w:val="22"/>
          <w:szCs w:val="22"/>
        </w:rPr>
        <w:t xml:space="preserve">, které se mimo jiné zúčastnili Ministr průmyslu a obchodu Jan Mládek a ředitelka Energetického regulačního úřadu Alena Vitásková. Za průmysl hovořil ředitel komunikace ČEZ Pavel </w:t>
      </w:r>
      <w:proofErr w:type="spellStart"/>
      <w:r>
        <w:rPr>
          <w:rFonts w:ascii="Calibri" w:eastAsiaTheme="minorHAnsi" w:hAnsi="Calibri"/>
          <w:sz w:val="22"/>
          <w:szCs w:val="22"/>
        </w:rPr>
        <w:t>Cyrani</w:t>
      </w:r>
      <w:proofErr w:type="spellEnd"/>
      <w:r>
        <w:rPr>
          <w:rFonts w:ascii="Calibri" w:eastAsiaTheme="minorHAnsi" w:hAnsi="Calibri"/>
          <w:sz w:val="22"/>
          <w:szCs w:val="22"/>
        </w:rPr>
        <w:t>, novelu Energetického zákona okomentoval ředitel sekce energetiky MPO Ladislav Havel.</w:t>
      </w:r>
    </w:p>
    <w:p w:rsidR="00EC1ADA" w:rsidRPr="00EC1ADA" w:rsidRDefault="00EC1ADA" w:rsidP="00DD5CE1">
      <w:pPr>
        <w:rPr>
          <w:rFonts w:ascii="Calibri" w:eastAsiaTheme="minorHAnsi" w:hAnsi="Calibri"/>
          <w:sz w:val="22"/>
          <w:szCs w:val="22"/>
        </w:rPr>
      </w:pPr>
    </w:p>
    <w:p w:rsidR="00EC1ADA" w:rsidRDefault="00EC1ADA" w:rsidP="00DD5CE1">
      <w:pPr>
        <w:rPr>
          <w:rFonts w:ascii="Calibri" w:eastAsiaTheme="minorHAnsi" w:hAnsi="Calibri"/>
          <w:sz w:val="22"/>
          <w:szCs w:val="22"/>
        </w:rPr>
      </w:pPr>
      <w:r w:rsidRPr="00EC1ADA">
        <w:rPr>
          <w:rFonts w:ascii="Calibri" w:eastAsiaTheme="minorHAnsi" w:hAnsi="Calibri"/>
          <w:sz w:val="22"/>
          <w:szCs w:val="22"/>
        </w:rPr>
        <w:t xml:space="preserve">Na jednání zazněla řada </w:t>
      </w:r>
      <w:r w:rsidR="00386195">
        <w:rPr>
          <w:rFonts w:ascii="Calibri" w:eastAsiaTheme="minorHAnsi" w:hAnsi="Calibri"/>
          <w:sz w:val="22"/>
          <w:szCs w:val="22"/>
        </w:rPr>
        <w:t>informací</w:t>
      </w:r>
      <w:r w:rsidR="00A166A4">
        <w:rPr>
          <w:rFonts w:ascii="Calibri" w:eastAsiaTheme="minorHAnsi" w:hAnsi="Calibri"/>
          <w:sz w:val="22"/>
          <w:szCs w:val="22"/>
        </w:rPr>
        <w:t>, mimo jiné</w:t>
      </w:r>
      <w:r w:rsidR="00540D37">
        <w:rPr>
          <w:rFonts w:ascii="Calibri" w:eastAsiaTheme="minorHAnsi" w:hAnsi="Calibri"/>
          <w:sz w:val="22"/>
          <w:szCs w:val="22"/>
        </w:rPr>
        <w:t>:</w:t>
      </w:r>
    </w:p>
    <w:p w:rsidR="00540D37" w:rsidRPr="00EC1ADA" w:rsidRDefault="00540D37" w:rsidP="00DD5CE1">
      <w:pPr>
        <w:rPr>
          <w:rFonts w:ascii="Calibri" w:eastAsiaTheme="minorHAnsi" w:hAnsi="Calibri"/>
          <w:sz w:val="22"/>
          <w:szCs w:val="22"/>
        </w:rPr>
      </w:pPr>
    </w:p>
    <w:p w:rsidR="00EC1ADA" w:rsidRDefault="00386195" w:rsidP="00910D47">
      <w:pPr>
        <w:numPr>
          <w:ilvl w:val="0"/>
          <w:numId w:val="24"/>
        </w:numPr>
        <w:rPr>
          <w:rFonts w:ascii="Calibri" w:eastAsiaTheme="minorHAnsi" w:hAnsi="Calibri"/>
          <w:sz w:val="22"/>
          <w:szCs w:val="22"/>
        </w:rPr>
      </w:pPr>
      <w:r>
        <w:rPr>
          <w:rFonts w:ascii="Calibri" w:eastAsiaTheme="minorHAnsi" w:hAnsi="Calibri"/>
          <w:sz w:val="22"/>
          <w:szCs w:val="22"/>
        </w:rPr>
        <w:t xml:space="preserve">Schválení Aktualizace Státní energetické koncepce narazilo na vládě na problém </w:t>
      </w:r>
      <w:r w:rsidR="002B0E1E">
        <w:rPr>
          <w:rFonts w:ascii="Calibri" w:eastAsiaTheme="minorHAnsi" w:hAnsi="Calibri"/>
          <w:sz w:val="22"/>
          <w:szCs w:val="22"/>
        </w:rPr>
        <w:t>těžby</w:t>
      </w:r>
      <w:r>
        <w:rPr>
          <w:rFonts w:ascii="Calibri" w:eastAsiaTheme="minorHAnsi" w:hAnsi="Calibri"/>
          <w:sz w:val="22"/>
          <w:szCs w:val="22"/>
        </w:rPr>
        <w:t xml:space="preserve"> hnědého uhlí v ČR – v současné době zadalo MPO zpracování studií dopadů variant prolomení limitů těžby</w:t>
      </w:r>
      <w:r w:rsidR="00E03480">
        <w:rPr>
          <w:rFonts w:ascii="Calibri" w:eastAsiaTheme="minorHAnsi" w:hAnsi="Calibri"/>
          <w:sz w:val="22"/>
          <w:szCs w:val="22"/>
        </w:rPr>
        <w:t xml:space="preserve"> </w:t>
      </w:r>
      <w:r w:rsidR="00011843">
        <w:rPr>
          <w:rFonts w:ascii="Calibri" w:eastAsiaTheme="minorHAnsi" w:hAnsi="Calibri"/>
          <w:sz w:val="22"/>
          <w:szCs w:val="22"/>
        </w:rPr>
        <w:t xml:space="preserve">formě </w:t>
      </w:r>
      <w:proofErr w:type="spellStart"/>
      <w:r w:rsidR="00011843">
        <w:rPr>
          <w:rFonts w:ascii="Calibri" w:eastAsiaTheme="minorHAnsi" w:hAnsi="Calibri"/>
          <w:sz w:val="22"/>
          <w:szCs w:val="22"/>
        </w:rPr>
        <w:t>PriceWaterhouseCoopers</w:t>
      </w:r>
      <w:proofErr w:type="spellEnd"/>
      <w:r w:rsidR="00011843">
        <w:rPr>
          <w:rFonts w:ascii="Calibri" w:eastAsiaTheme="minorHAnsi" w:hAnsi="Calibri"/>
          <w:sz w:val="22"/>
          <w:szCs w:val="22"/>
        </w:rPr>
        <w:t xml:space="preserve"> </w:t>
      </w:r>
      <w:r w:rsidR="00E03480">
        <w:rPr>
          <w:rFonts w:ascii="Calibri" w:eastAsiaTheme="minorHAnsi" w:hAnsi="Calibri"/>
          <w:sz w:val="22"/>
          <w:szCs w:val="22"/>
        </w:rPr>
        <w:t>(Mládek)</w:t>
      </w:r>
      <w:r>
        <w:rPr>
          <w:rFonts w:ascii="Calibri" w:eastAsiaTheme="minorHAnsi" w:hAnsi="Calibri"/>
          <w:sz w:val="22"/>
          <w:szCs w:val="22"/>
        </w:rPr>
        <w:t>.</w:t>
      </w:r>
    </w:p>
    <w:p w:rsidR="00910D47" w:rsidRDefault="00AE1180" w:rsidP="00910D47">
      <w:pPr>
        <w:numPr>
          <w:ilvl w:val="0"/>
          <w:numId w:val="24"/>
        </w:numPr>
        <w:rPr>
          <w:rFonts w:ascii="Calibri" w:eastAsiaTheme="minorHAnsi" w:hAnsi="Calibri"/>
          <w:sz w:val="22"/>
          <w:szCs w:val="22"/>
        </w:rPr>
      </w:pPr>
      <w:r>
        <w:rPr>
          <w:rFonts w:ascii="Calibri" w:eastAsiaTheme="minorHAnsi" w:hAnsi="Calibri"/>
          <w:sz w:val="22"/>
          <w:szCs w:val="22"/>
        </w:rPr>
        <w:t>Hlavními cíli</w:t>
      </w:r>
      <w:r w:rsidR="00386195">
        <w:rPr>
          <w:rFonts w:ascii="Calibri" w:eastAsiaTheme="minorHAnsi" w:hAnsi="Calibri"/>
          <w:sz w:val="22"/>
          <w:szCs w:val="22"/>
        </w:rPr>
        <w:t xml:space="preserve"> novely Energetického zákona bylo promítnout nový občanský zákoník, sladit evropskou legislativu, a </w:t>
      </w:r>
      <w:r w:rsidR="00BF09E7">
        <w:rPr>
          <w:rFonts w:ascii="Calibri" w:eastAsiaTheme="minorHAnsi" w:hAnsi="Calibri"/>
          <w:sz w:val="22"/>
          <w:szCs w:val="22"/>
        </w:rPr>
        <w:t>zavést nový tarifní model podpory OZE</w:t>
      </w:r>
      <w:r w:rsidR="00823D47">
        <w:rPr>
          <w:rFonts w:ascii="Calibri" w:eastAsiaTheme="minorHAnsi" w:hAnsi="Calibri"/>
          <w:sz w:val="22"/>
          <w:szCs w:val="22"/>
        </w:rPr>
        <w:t xml:space="preserve"> (Mládek</w:t>
      </w:r>
      <w:r w:rsidR="00E03480">
        <w:rPr>
          <w:rFonts w:ascii="Calibri" w:eastAsiaTheme="minorHAnsi" w:hAnsi="Calibri"/>
          <w:sz w:val="22"/>
          <w:szCs w:val="22"/>
        </w:rPr>
        <w:t>)</w:t>
      </w:r>
      <w:r w:rsidR="00BF09E7">
        <w:rPr>
          <w:rFonts w:ascii="Calibri" w:eastAsiaTheme="minorHAnsi" w:hAnsi="Calibri"/>
          <w:sz w:val="22"/>
          <w:szCs w:val="22"/>
        </w:rPr>
        <w:t>.</w:t>
      </w:r>
    </w:p>
    <w:p w:rsidR="00E03480" w:rsidRDefault="00E03480" w:rsidP="00910D47">
      <w:pPr>
        <w:numPr>
          <w:ilvl w:val="0"/>
          <w:numId w:val="24"/>
        </w:numPr>
        <w:rPr>
          <w:rFonts w:ascii="Calibri" w:eastAsiaTheme="minorHAnsi" w:hAnsi="Calibri"/>
          <w:sz w:val="22"/>
          <w:szCs w:val="22"/>
        </w:rPr>
      </w:pPr>
      <w:r>
        <w:rPr>
          <w:rFonts w:ascii="Calibri" w:eastAsiaTheme="minorHAnsi" w:hAnsi="Calibri"/>
          <w:sz w:val="22"/>
          <w:szCs w:val="22"/>
        </w:rPr>
        <w:t>Nový tarifní model pro podporu OZE bude znamenat to, že požadovaný příkon může nově významně ovlivnit spotřebitel (</w:t>
      </w:r>
      <w:proofErr w:type="spellStart"/>
      <w:r>
        <w:rPr>
          <w:rFonts w:ascii="Calibri" w:eastAsiaTheme="minorHAnsi" w:hAnsi="Calibri"/>
          <w:sz w:val="22"/>
          <w:szCs w:val="22"/>
        </w:rPr>
        <w:t>Cyrani</w:t>
      </w:r>
      <w:proofErr w:type="spellEnd"/>
      <w:r>
        <w:rPr>
          <w:rFonts w:ascii="Calibri" w:eastAsiaTheme="minorHAnsi" w:hAnsi="Calibri"/>
          <w:sz w:val="22"/>
          <w:szCs w:val="22"/>
        </w:rPr>
        <w:t>)</w:t>
      </w:r>
      <w:r w:rsidR="00105BBB">
        <w:rPr>
          <w:rFonts w:ascii="Calibri" w:eastAsiaTheme="minorHAnsi" w:hAnsi="Calibri"/>
          <w:sz w:val="22"/>
          <w:szCs w:val="22"/>
        </w:rPr>
        <w:t>.</w:t>
      </w:r>
    </w:p>
    <w:p w:rsidR="00BF09E7" w:rsidRDefault="00BF09E7" w:rsidP="00910D47">
      <w:pPr>
        <w:numPr>
          <w:ilvl w:val="0"/>
          <w:numId w:val="24"/>
        </w:numPr>
        <w:rPr>
          <w:rFonts w:ascii="Calibri" w:eastAsiaTheme="minorHAnsi" w:hAnsi="Calibri"/>
          <w:sz w:val="22"/>
          <w:szCs w:val="22"/>
        </w:rPr>
      </w:pPr>
      <w:r>
        <w:rPr>
          <w:rFonts w:ascii="Calibri" w:eastAsiaTheme="minorHAnsi" w:hAnsi="Calibri"/>
          <w:sz w:val="22"/>
          <w:szCs w:val="22"/>
        </w:rPr>
        <w:t>Novela Energetického z</w:t>
      </w:r>
      <w:r w:rsidR="002B0E1E">
        <w:rPr>
          <w:rFonts w:ascii="Calibri" w:eastAsiaTheme="minorHAnsi" w:hAnsi="Calibri"/>
          <w:sz w:val="22"/>
          <w:szCs w:val="22"/>
        </w:rPr>
        <w:t>ákona začne platit od 1. 1. 2016</w:t>
      </w:r>
      <w:r>
        <w:rPr>
          <w:rFonts w:ascii="Calibri" w:eastAsiaTheme="minorHAnsi" w:hAnsi="Calibri"/>
          <w:sz w:val="22"/>
          <w:szCs w:val="22"/>
        </w:rPr>
        <w:t>, když projde senátem</w:t>
      </w:r>
      <w:r w:rsidR="00E03480">
        <w:rPr>
          <w:rFonts w:ascii="Calibri" w:eastAsiaTheme="minorHAnsi" w:hAnsi="Calibri"/>
          <w:sz w:val="22"/>
          <w:szCs w:val="22"/>
        </w:rPr>
        <w:t xml:space="preserve"> (Havel)</w:t>
      </w:r>
      <w:r>
        <w:rPr>
          <w:rFonts w:ascii="Calibri" w:eastAsiaTheme="minorHAnsi" w:hAnsi="Calibri"/>
          <w:sz w:val="22"/>
          <w:szCs w:val="22"/>
        </w:rPr>
        <w:t>.</w:t>
      </w:r>
    </w:p>
    <w:p w:rsidR="00BE679A" w:rsidRDefault="00BE679A" w:rsidP="00910D47">
      <w:pPr>
        <w:numPr>
          <w:ilvl w:val="0"/>
          <w:numId w:val="24"/>
        </w:numPr>
        <w:rPr>
          <w:rFonts w:ascii="Calibri" w:eastAsiaTheme="minorHAnsi" w:hAnsi="Calibri"/>
          <w:sz w:val="22"/>
          <w:szCs w:val="22"/>
        </w:rPr>
      </w:pPr>
      <w:r>
        <w:rPr>
          <w:rFonts w:ascii="Calibri" w:eastAsiaTheme="minorHAnsi" w:hAnsi="Calibri"/>
          <w:sz w:val="22"/>
          <w:szCs w:val="22"/>
        </w:rPr>
        <w:t xml:space="preserve">V návaznosti na přijetí novely bude nutno provést změny celkem 12 ovlivněných nižších právních předpisů (Havel). </w:t>
      </w:r>
    </w:p>
    <w:p w:rsidR="00E03480" w:rsidRPr="00E03480" w:rsidRDefault="00BF09E7" w:rsidP="00E03480">
      <w:pPr>
        <w:numPr>
          <w:ilvl w:val="0"/>
          <w:numId w:val="24"/>
        </w:numPr>
        <w:rPr>
          <w:rFonts w:ascii="Calibri" w:eastAsiaTheme="minorHAnsi" w:hAnsi="Calibri"/>
          <w:sz w:val="22"/>
          <w:szCs w:val="22"/>
        </w:rPr>
      </w:pPr>
      <w:r>
        <w:rPr>
          <w:rFonts w:ascii="Calibri" w:eastAsiaTheme="minorHAnsi" w:hAnsi="Calibri"/>
          <w:sz w:val="22"/>
          <w:szCs w:val="22"/>
        </w:rPr>
        <w:t>Nehledě na projednání novely v senátu, ERÚ již začalo pracovat na tvorbě prováděcích vyhlášek k novele EZ</w:t>
      </w:r>
      <w:r w:rsidR="00E03480">
        <w:rPr>
          <w:rFonts w:ascii="Calibri" w:eastAsiaTheme="minorHAnsi" w:hAnsi="Calibri"/>
          <w:sz w:val="22"/>
          <w:szCs w:val="22"/>
        </w:rPr>
        <w:t xml:space="preserve"> (Vitásková)</w:t>
      </w:r>
      <w:r>
        <w:rPr>
          <w:rFonts w:ascii="Calibri" w:eastAsiaTheme="minorHAnsi" w:hAnsi="Calibri"/>
          <w:sz w:val="22"/>
          <w:szCs w:val="22"/>
        </w:rPr>
        <w:t>.</w:t>
      </w:r>
    </w:p>
    <w:p w:rsidR="00EC1ADA" w:rsidRPr="00EC1ADA" w:rsidRDefault="00BF09E7" w:rsidP="00DD5CE1">
      <w:pPr>
        <w:numPr>
          <w:ilvl w:val="0"/>
          <w:numId w:val="24"/>
        </w:numPr>
        <w:rPr>
          <w:rFonts w:ascii="Calibri" w:eastAsiaTheme="minorHAnsi" w:hAnsi="Calibri"/>
          <w:sz w:val="22"/>
          <w:szCs w:val="22"/>
        </w:rPr>
      </w:pPr>
      <w:r>
        <w:rPr>
          <w:rFonts w:ascii="Calibri" w:eastAsiaTheme="minorHAnsi" w:hAnsi="Calibri"/>
          <w:sz w:val="22"/>
          <w:szCs w:val="22"/>
        </w:rPr>
        <w:t>Nová úprava, kdy bude Radu ERÚ jmenovat a odvolávat vláda na návrh Ministra MPO, je v přímém rozporu s principem nezávislosti EU</w:t>
      </w:r>
      <w:r w:rsidR="00E03480">
        <w:rPr>
          <w:rFonts w:ascii="Calibri" w:eastAsiaTheme="minorHAnsi" w:hAnsi="Calibri"/>
          <w:sz w:val="22"/>
          <w:szCs w:val="22"/>
        </w:rPr>
        <w:t xml:space="preserve"> (Vitásková).</w:t>
      </w:r>
    </w:p>
    <w:p w:rsidR="00E03480" w:rsidRPr="00E03480" w:rsidRDefault="00BF09E7" w:rsidP="00E03480">
      <w:pPr>
        <w:numPr>
          <w:ilvl w:val="0"/>
          <w:numId w:val="24"/>
        </w:numPr>
        <w:rPr>
          <w:rFonts w:ascii="Calibri" w:eastAsiaTheme="minorHAnsi" w:hAnsi="Calibri"/>
          <w:sz w:val="22"/>
          <w:szCs w:val="22"/>
        </w:rPr>
      </w:pPr>
      <w:r>
        <w:rPr>
          <w:rFonts w:ascii="Calibri" w:eastAsiaTheme="minorHAnsi" w:hAnsi="Calibri"/>
          <w:sz w:val="22"/>
          <w:szCs w:val="22"/>
        </w:rPr>
        <w:t xml:space="preserve">Pokud se bude stavět velké množství nových plynovodů pod záminkou </w:t>
      </w:r>
      <w:r w:rsidR="00157BA7">
        <w:rPr>
          <w:rFonts w:ascii="Calibri" w:eastAsiaTheme="minorHAnsi" w:hAnsi="Calibri"/>
          <w:sz w:val="22"/>
          <w:szCs w:val="22"/>
        </w:rPr>
        <w:t xml:space="preserve">zvýšení </w:t>
      </w:r>
      <w:r>
        <w:rPr>
          <w:rFonts w:ascii="Calibri" w:eastAsiaTheme="minorHAnsi" w:hAnsi="Calibri"/>
          <w:sz w:val="22"/>
          <w:szCs w:val="22"/>
        </w:rPr>
        <w:t>energetické bezpečnosti, může to vést k tomu,</w:t>
      </w:r>
      <w:r w:rsidR="00105BBB">
        <w:rPr>
          <w:rFonts w:ascii="Calibri" w:eastAsiaTheme="minorHAnsi" w:hAnsi="Calibri"/>
          <w:sz w:val="22"/>
          <w:szCs w:val="22"/>
        </w:rPr>
        <w:t xml:space="preserve"> že jejich kapacita</w:t>
      </w:r>
      <w:r>
        <w:rPr>
          <w:rFonts w:ascii="Calibri" w:eastAsiaTheme="minorHAnsi" w:hAnsi="Calibri"/>
          <w:sz w:val="22"/>
          <w:szCs w:val="22"/>
        </w:rPr>
        <w:t xml:space="preserve"> bude málo využívána, a díky vysokým nákladům na údržbu to povede ke zvýšení cen plynu</w:t>
      </w:r>
      <w:r w:rsidR="00E03480">
        <w:rPr>
          <w:rFonts w:ascii="Calibri" w:eastAsiaTheme="minorHAnsi" w:hAnsi="Calibri"/>
          <w:sz w:val="22"/>
          <w:szCs w:val="22"/>
        </w:rPr>
        <w:t xml:space="preserve"> (Vitásková)</w:t>
      </w:r>
      <w:r>
        <w:rPr>
          <w:rFonts w:ascii="Calibri" w:eastAsiaTheme="minorHAnsi" w:hAnsi="Calibri"/>
          <w:sz w:val="22"/>
          <w:szCs w:val="22"/>
        </w:rPr>
        <w:t>.</w:t>
      </w:r>
    </w:p>
    <w:p w:rsidR="00BF09E7" w:rsidRPr="00EC1ADA" w:rsidRDefault="00BF09E7" w:rsidP="00BF09E7">
      <w:pPr>
        <w:rPr>
          <w:rFonts w:ascii="Calibri" w:eastAsiaTheme="minorHAnsi" w:hAnsi="Calibri"/>
          <w:sz w:val="22"/>
          <w:szCs w:val="22"/>
        </w:rPr>
      </w:pPr>
    </w:p>
    <w:p w:rsidR="00EC1ADA" w:rsidRPr="00EC1ADA" w:rsidRDefault="00EC1ADA" w:rsidP="00DD5CE1">
      <w:pPr>
        <w:rPr>
          <w:rFonts w:ascii="Calibri" w:eastAsiaTheme="minorHAnsi" w:hAnsi="Calibri"/>
          <w:sz w:val="22"/>
          <w:szCs w:val="22"/>
        </w:rPr>
      </w:pPr>
      <w:r w:rsidRPr="00EC1ADA">
        <w:rPr>
          <w:rFonts w:ascii="Calibri" w:eastAsiaTheme="minorHAnsi" w:hAnsi="Calibri"/>
          <w:b/>
          <w:sz w:val="22"/>
          <w:szCs w:val="22"/>
        </w:rPr>
        <w:t>Závěr</w:t>
      </w:r>
      <w:r w:rsidRPr="00EC1ADA">
        <w:rPr>
          <w:rFonts w:ascii="Calibri" w:eastAsiaTheme="minorHAnsi" w:hAnsi="Calibri"/>
          <w:sz w:val="22"/>
          <w:szCs w:val="22"/>
        </w:rPr>
        <w:t xml:space="preserve">: </w:t>
      </w:r>
      <w:r w:rsidR="00E03480">
        <w:rPr>
          <w:rFonts w:ascii="Calibri" w:eastAsiaTheme="minorHAnsi" w:hAnsi="Calibri"/>
          <w:sz w:val="22"/>
          <w:szCs w:val="22"/>
        </w:rPr>
        <w:t xml:space="preserve">Novela Energetického zákona, k jejímuž přijetí významně přispěl </w:t>
      </w:r>
      <w:r w:rsidR="00105BBB">
        <w:rPr>
          <w:rFonts w:ascii="Calibri" w:eastAsiaTheme="minorHAnsi" w:hAnsi="Calibri"/>
          <w:sz w:val="22"/>
          <w:szCs w:val="22"/>
        </w:rPr>
        <w:t>SP</w:t>
      </w:r>
      <w:r w:rsidR="00E03480">
        <w:rPr>
          <w:rFonts w:ascii="Calibri" w:eastAsiaTheme="minorHAnsi" w:hAnsi="Calibri"/>
          <w:sz w:val="22"/>
          <w:szCs w:val="22"/>
        </w:rPr>
        <w:t xml:space="preserve"> ČR jak v procesu tvorby (jsme spoluautory nového tarifního modelu podpory OZE), </w:t>
      </w:r>
      <w:r w:rsidR="00105BBB">
        <w:rPr>
          <w:rFonts w:ascii="Calibri" w:eastAsiaTheme="minorHAnsi" w:hAnsi="Calibri"/>
          <w:sz w:val="22"/>
          <w:szCs w:val="22"/>
        </w:rPr>
        <w:t>tak i v připomínkovém</w:t>
      </w:r>
      <w:r w:rsidR="00E03480">
        <w:rPr>
          <w:rFonts w:ascii="Calibri" w:eastAsiaTheme="minorHAnsi" w:hAnsi="Calibri"/>
          <w:sz w:val="22"/>
          <w:szCs w:val="22"/>
        </w:rPr>
        <w:t xml:space="preserve"> řízení (většina našich připomínek byla akceptována a následně schválena), </w:t>
      </w:r>
      <w:r w:rsidR="00105BBB">
        <w:rPr>
          <w:rFonts w:ascii="Calibri" w:eastAsiaTheme="minorHAnsi" w:hAnsi="Calibri"/>
          <w:sz w:val="22"/>
          <w:szCs w:val="22"/>
        </w:rPr>
        <w:t>je významná nejen</w:t>
      </w:r>
      <w:r w:rsidR="002B0E1E">
        <w:rPr>
          <w:rFonts w:ascii="Calibri" w:eastAsiaTheme="minorHAnsi" w:hAnsi="Calibri"/>
          <w:sz w:val="22"/>
          <w:szCs w:val="22"/>
        </w:rPr>
        <w:t xml:space="preserve"> z pohledu </w:t>
      </w:r>
      <w:r w:rsidR="00105BBB">
        <w:rPr>
          <w:rFonts w:ascii="Calibri" w:eastAsiaTheme="minorHAnsi" w:hAnsi="Calibri"/>
          <w:sz w:val="22"/>
          <w:szCs w:val="22"/>
        </w:rPr>
        <w:t>souladu legislativy, ale</w:t>
      </w:r>
      <w:r w:rsidR="002B0E1E">
        <w:rPr>
          <w:rFonts w:ascii="Calibri" w:eastAsiaTheme="minorHAnsi" w:hAnsi="Calibri"/>
          <w:sz w:val="22"/>
          <w:szCs w:val="22"/>
        </w:rPr>
        <w:t xml:space="preserve"> i </w:t>
      </w:r>
      <w:r w:rsidR="00105BBB">
        <w:rPr>
          <w:rFonts w:ascii="Calibri" w:eastAsiaTheme="minorHAnsi" w:hAnsi="Calibri"/>
          <w:sz w:val="22"/>
          <w:szCs w:val="22"/>
        </w:rPr>
        <w:t>zvýšení</w:t>
      </w:r>
      <w:r w:rsidR="002B0E1E">
        <w:rPr>
          <w:rFonts w:ascii="Calibri" w:eastAsiaTheme="minorHAnsi" w:hAnsi="Calibri"/>
          <w:sz w:val="22"/>
          <w:szCs w:val="22"/>
        </w:rPr>
        <w:t xml:space="preserve"> konkurenceschopnosti českých průmyslových podniků díky úspoře OEZ. Zásadní otázkou ovš</w:t>
      </w:r>
      <w:r w:rsidR="0095379B">
        <w:rPr>
          <w:rFonts w:ascii="Calibri" w:eastAsiaTheme="minorHAnsi" w:hAnsi="Calibri"/>
          <w:sz w:val="22"/>
          <w:szCs w:val="22"/>
        </w:rPr>
        <w:t>em je přijetí novely Senátem ČR -</w:t>
      </w:r>
      <w:r w:rsidR="002B0E1E">
        <w:rPr>
          <w:rFonts w:ascii="Calibri" w:eastAsiaTheme="minorHAnsi" w:hAnsi="Calibri"/>
          <w:sz w:val="22"/>
          <w:szCs w:val="22"/>
        </w:rPr>
        <w:t xml:space="preserve"> v případě vrácení novely zákona do sněmovny by bylo kriticky ohroženo datum platnosti novely od 1. 1. 2016. </w:t>
      </w:r>
    </w:p>
    <w:p w:rsidR="00EC1ADA" w:rsidRDefault="00EC1ADA" w:rsidP="00DD5CE1">
      <w:pPr>
        <w:overflowPunct w:val="0"/>
        <w:autoSpaceDE w:val="0"/>
        <w:autoSpaceDN w:val="0"/>
        <w:rPr>
          <w:rFonts w:asciiTheme="minorHAnsi" w:hAnsiTheme="minorHAnsi"/>
          <w:sz w:val="22"/>
          <w:szCs w:val="22"/>
        </w:rPr>
      </w:pPr>
    </w:p>
    <w:p w:rsidR="00133C9B" w:rsidRDefault="00E97917" w:rsidP="00DD5CE1">
      <w:pPr>
        <w:rPr>
          <w:rFonts w:ascii="Calibri" w:eastAsiaTheme="minorHAnsi" w:hAnsi="Calibri"/>
          <w:sz w:val="22"/>
          <w:szCs w:val="22"/>
        </w:rPr>
      </w:pPr>
      <w:r>
        <w:rPr>
          <w:rFonts w:ascii="Calibri" w:eastAsiaTheme="minorHAnsi" w:hAnsi="Calibri"/>
          <w:sz w:val="22"/>
          <w:szCs w:val="22"/>
        </w:rPr>
        <w:t>Odkazy</w:t>
      </w:r>
      <w:r w:rsidRPr="00EC1ADA">
        <w:rPr>
          <w:rFonts w:ascii="Calibri" w:eastAsiaTheme="minorHAnsi" w:hAnsi="Calibri"/>
          <w:sz w:val="22"/>
          <w:szCs w:val="22"/>
        </w:rPr>
        <w:t xml:space="preserve">: </w:t>
      </w:r>
    </w:p>
    <w:p w:rsidR="00133C9B" w:rsidRPr="00E97917" w:rsidRDefault="00D204A9" w:rsidP="00DD5CE1">
      <w:pPr>
        <w:rPr>
          <w:rFonts w:ascii="Calibri" w:eastAsiaTheme="minorHAnsi" w:hAnsi="Calibri"/>
          <w:sz w:val="22"/>
          <w:szCs w:val="22"/>
        </w:rPr>
      </w:pPr>
      <w:hyperlink r:id="rId7" w:history="1">
        <w:r w:rsidR="00133C9B" w:rsidRPr="000B679F">
          <w:rPr>
            <w:rStyle w:val="Hypertextovodkaz"/>
            <w:rFonts w:ascii="Calibri" w:eastAsiaTheme="minorHAnsi" w:hAnsi="Calibri"/>
            <w:sz w:val="22"/>
            <w:szCs w:val="22"/>
          </w:rPr>
          <w:t>http://www.mafraevents.cz/novela-energetickeho-zakona-a-energeticka-bezpecnost-cr-p24-/konference.aspx?c=A150330_145600_pripravovane-konference_knig</w:t>
        </w:r>
      </w:hyperlink>
    </w:p>
    <w:sectPr w:rsidR="00133C9B" w:rsidRPr="00E97917" w:rsidSect="00F008EF">
      <w:headerReference w:type="default" r:id="rId8"/>
      <w:footerReference w:type="default" r:id="rId9"/>
      <w:pgSz w:w="11906" w:h="16838"/>
      <w:pgMar w:top="2268" w:right="1418" w:bottom="567" w:left="1418" w:header="992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61D" w:rsidRDefault="0022661D">
      <w:r>
        <w:separator/>
      </w:r>
    </w:p>
  </w:endnote>
  <w:endnote w:type="continuationSeparator" w:id="0">
    <w:p w:rsidR="0022661D" w:rsidRDefault="00226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18F" w:rsidRDefault="0096418F" w:rsidP="00587D54">
    <w:pPr>
      <w:pStyle w:val="Zpat"/>
      <w:tabs>
        <w:tab w:val="left" w:pos="6804"/>
      </w:tabs>
      <w:spacing w:line="240" w:lineRule="atLeast"/>
      <w:rPr>
        <w:rFonts w:ascii="CG Omega" w:hAnsi="CG Omega"/>
        <w:color w:val="005FA4"/>
        <w:sz w:val="16"/>
      </w:rPr>
    </w:pPr>
    <w:r>
      <w:rPr>
        <w:rFonts w:ascii="CG Omega" w:hAnsi="CG Omega"/>
        <w:noProof/>
        <w:color w:val="005FA4"/>
        <w:sz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4266565</wp:posOffset>
          </wp:positionH>
          <wp:positionV relativeFrom="paragraph">
            <wp:posOffset>130810</wp:posOffset>
          </wp:positionV>
          <wp:extent cx="1543685" cy="373380"/>
          <wp:effectExtent l="1905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373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66622">
      <w:rPr>
        <w:rFonts w:ascii="CG Omega" w:hAnsi="CG Omega"/>
        <w:noProof/>
        <w:color w:val="005FA4"/>
        <w:sz w:val="16"/>
      </w:rPr>
      <w:t>Freyova 948/11, 190 00</w:t>
    </w:r>
    <w:r w:rsidRPr="00B94002">
      <w:rPr>
        <w:rFonts w:ascii="CG Omega" w:hAnsi="CG Omega"/>
        <w:noProof/>
        <w:color w:val="005FA4"/>
        <w:sz w:val="16"/>
      </w:rPr>
      <w:t xml:space="preserve">  Praha 9</w:t>
    </w:r>
    <w:r>
      <w:rPr>
        <w:rFonts w:ascii="CG Omega" w:hAnsi="CG Omega"/>
        <w:color w:val="005FA4"/>
        <w:sz w:val="16"/>
      </w:rPr>
      <w:tab/>
    </w:r>
    <w:r>
      <w:rPr>
        <w:rFonts w:ascii="CG Omega" w:hAnsi="CG Omega"/>
        <w:color w:val="005FA4"/>
        <w:sz w:val="16"/>
      </w:rPr>
      <w:tab/>
    </w:r>
    <w:proofErr w:type="spellStart"/>
    <w:r>
      <w:rPr>
        <w:rFonts w:ascii="CG Omega" w:hAnsi="CG Omega"/>
        <w:color w:val="005FA4"/>
        <w:sz w:val="16"/>
      </w:rPr>
      <w:t>Member</w:t>
    </w:r>
    <w:proofErr w:type="spellEnd"/>
    <w:r>
      <w:rPr>
        <w:rFonts w:ascii="CG Omega" w:hAnsi="CG Omega"/>
        <w:color w:val="005FA4"/>
        <w:sz w:val="16"/>
      </w:rPr>
      <w:t xml:space="preserve"> </w:t>
    </w:r>
    <w:proofErr w:type="spellStart"/>
    <w:r>
      <w:rPr>
        <w:rFonts w:ascii="CG Omega" w:hAnsi="CG Omega"/>
        <w:color w:val="005FA4"/>
        <w:sz w:val="16"/>
      </w:rPr>
      <w:t>of</w:t>
    </w:r>
    <w:proofErr w:type="spellEnd"/>
  </w:p>
  <w:p w:rsidR="0096418F" w:rsidRDefault="0096418F" w:rsidP="00B94002">
    <w:pPr>
      <w:pStyle w:val="Zpat"/>
      <w:tabs>
        <w:tab w:val="left" w:pos="6663"/>
      </w:tabs>
      <w:spacing w:line="240" w:lineRule="atLeast"/>
      <w:rPr>
        <w:rFonts w:ascii="CG Omega" w:hAnsi="CG Omega"/>
        <w:color w:val="005FA4"/>
        <w:sz w:val="16"/>
      </w:rPr>
    </w:pPr>
    <w:r>
      <w:rPr>
        <w:rFonts w:ascii="CG Omega" w:hAnsi="CG Omega"/>
        <w:color w:val="005FA4"/>
        <w:sz w:val="16"/>
      </w:rPr>
      <w:t>Tel.: +420 225 279 111, Fax: +420 225 279 100</w:t>
    </w:r>
  </w:p>
  <w:p w:rsidR="0096418F" w:rsidRPr="00587D54" w:rsidRDefault="0096418F" w:rsidP="00587D54">
    <w:pPr>
      <w:pStyle w:val="Zpat"/>
      <w:tabs>
        <w:tab w:val="left" w:pos="6663"/>
      </w:tabs>
      <w:spacing w:line="240" w:lineRule="atLeast"/>
    </w:pPr>
    <w:r>
      <w:rPr>
        <w:rFonts w:ascii="CG Omega" w:hAnsi="CG Omega"/>
        <w:color w:val="005FA4"/>
        <w:sz w:val="16"/>
      </w:rPr>
      <w:t xml:space="preserve">e-mail: </w:t>
    </w:r>
    <w:proofErr w:type="spellStart"/>
    <w:r>
      <w:rPr>
        <w:rFonts w:ascii="CG Omega" w:hAnsi="CG Omega"/>
        <w:color w:val="005FA4"/>
        <w:sz w:val="16"/>
      </w:rPr>
      <w:t>spcr</w:t>
    </w:r>
    <w:proofErr w:type="spellEnd"/>
    <w:r w:rsidRPr="001F5E2B">
      <w:rPr>
        <w:rFonts w:ascii="CG Omega" w:hAnsi="CG Omega"/>
        <w:color w:val="005FA4"/>
        <w:sz w:val="16"/>
      </w:rPr>
      <w:t>@spcr.cz</w:t>
    </w:r>
    <w:r>
      <w:rPr>
        <w:rFonts w:ascii="CG Omega" w:hAnsi="CG Omega"/>
        <w:color w:val="005FA4"/>
        <w:sz w:val="16"/>
      </w:rPr>
      <w:t xml:space="preserve">, </w:t>
    </w:r>
    <w:r w:rsidRPr="001F5E2B">
      <w:rPr>
        <w:rFonts w:ascii="CG Omega" w:hAnsi="CG Omega"/>
        <w:color w:val="005FA4"/>
        <w:sz w:val="16"/>
      </w:rPr>
      <w:t>www.spcr.cz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61D" w:rsidRDefault="0022661D">
      <w:r>
        <w:separator/>
      </w:r>
    </w:p>
  </w:footnote>
  <w:footnote w:type="continuationSeparator" w:id="0">
    <w:p w:rsidR="0022661D" w:rsidRDefault="002266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18F" w:rsidRPr="00EF65E4" w:rsidRDefault="0096418F" w:rsidP="00EF65E4">
    <w:pPr>
      <w:pStyle w:val="Zhlav"/>
      <w:tabs>
        <w:tab w:val="clear" w:pos="4536"/>
        <w:tab w:val="left" w:pos="1134"/>
        <w:tab w:val="left" w:pos="6663"/>
      </w:tabs>
      <w:rPr>
        <w:rFonts w:ascii="CG Omega" w:hAnsi="CG Omega" w:cs="Raavi"/>
        <w:color w:val="005FA4"/>
        <w:sz w:val="24"/>
        <w:szCs w:val="24"/>
      </w:rPr>
    </w:pPr>
    <w:r>
      <w:rPr>
        <w:rFonts w:ascii="CG Omega" w:hAnsi="CG Omega" w:cs="Raavi"/>
        <w:noProof/>
        <w:color w:val="005FA4"/>
        <w:sz w:val="24"/>
        <w:szCs w:val="24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28575</wp:posOffset>
          </wp:positionV>
          <wp:extent cx="626110" cy="464820"/>
          <wp:effectExtent l="19050" t="0" r="2540" b="0"/>
          <wp:wrapNone/>
          <wp:docPr id="2" name="obrázek 2" descr="sp2005mod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2005mod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464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G Omega" w:hAnsi="CG Omega" w:cs="Raavi"/>
        <w:color w:val="005FA4"/>
        <w:sz w:val="24"/>
        <w:szCs w:val="24"/>
      </w:rPr>
      <w:tab/>
    </w:r>
    <w:r w:rsidRPr="00EF65E4">
      <w:rPr>
        <w:rFonts w:ascii="CG Omega" w:hAnsi="CG Omega" w:cs="Raavi"/>
        <w:color w:val="005FA4"/>
        <w:sz w:val="24"/>
        <w:szCs w:val="24"/>
      </w:rPr>
      <w:t>Svaz průmyslu a dopravy České republiky</w:t>
    </w:r>
  </w:p>
  <w:p w:rsidR="0096418F" w:rsidRPr="00EF65E4" w:rsidRDefault="0096418F" w:rsidP="00EF65E4">
    <w:pPr>
      <w:pStyle w:val="Zhlav"/>
      <w:tabs>
        <w:tab w:val="clear" w:pos="4536"/>
        <w:tab w:val="left" w:pos="1134"/>
        <w:tab w:val="left" w:pos="6663"/>
      </w:tabs>
      <w:ind w:firstLine="1134"/>
      <w:rPr>
        <w:rFonts w:ascii="CG Omega" w:hAnsi="CG Omega" w:cs="Raavi"/>
        <w:color w:val="005FA4"/>
        <w:sz w:val="24"/>
        <w:szCs w:val="24"/>
      </w:rPr>
    </w:pPr>
    <w:proofErr w:type="spellStart"/>
    <w:r w:rsidRPr="00EF65E4">
      <w:rPr>
        <w:rFonts w:ascii="CG Omega" w:hAnsi="CG Omega" w:cs="Raavi"/>
        <w:color w:val="005FA4"/>
        <w:sz w:val="24"/>
        <w:szCs w:val="24"/>
      </w:rPr>
      <w:t>Confederation</w:t>
    </w:r>
    <w:proofErr w:type="spellEnd"/>
    <w:r w:rsidRPr="00EF65E4">
      <w:rPr>
        <w:rFonts w:ascii="CG Omega" w:hAnsi="CG Omega" w:cs="Raavi"/>
        <w:color w:val="005FA4"/>
        <w:sz w:val="24"/>
        <w:szCs w:val="24"/>
      </w:rPr>
      <w:t xml:space="preserve"> </w:t>
    </w:r>
    <w:proofErr w:type="spellStart"/>
    <w:r w:rsidRPr="00EF65E4">
      <w:rPr>
        <w:rFonts w:ascii="CG Omega" w:hAnsi="CG Omega" w:cs="Raavi"/>
        <w:color w:val="005FA4"/>
        <w:sz w:val="24"/>
        <w:szCs w:val="24"/>
      </w:rPr>
      <w:t>of</w:t>
    </w:r>
    <w:proofErr w:type="spellEnd"/>
    <w:r w:rsidRPr="00EF65E4">
      <w:rPr>
        <w:rFonts w:ascii="CG Omega" w:hAnsi="CG Omega" w:cs="Raavi"/>
        <w:color w:val="005FA4"/>
        <w:sz w:val="24"/>
        <w:szCs w:val="24"/>
      </w:rPr>
      <w:t xml:space="preserve"> </w:t>
    </w:r>
    <w:proofErr w:type="spellStart"/>
    <w:r w:rsidRPr="00EF65E4">
      <w:rPr>
        <w:rFonts w:ascii="CG Omega" w:hAnsi="CG Omega" w:cs="Raavi"/>
        <w:color w:val="005FA4"/>
        <w:sz w:val="24"/>
        <w:szCs w:val="24"/>
      </w:rPr>
      <w:t>Industry</w:t>
    </w:r>
    <w:proofErr w:type="spellEnd"/>
    <w:r w:rsidRPr="00EF65E4">
      <w:rPr>
        <w:rFonts w:ascii="CG Omega" w:hAnsi="CG Omega" w:cs="Raavi"/>
        <w:color w:val="005FA4"/>
        <w:sz w:val="24"/>
        <w:szCs w:val="24"/>
      </w:rPr>
      <w:t xml:space="preserve"> </w:t>
    </w:r>
    <w:proofErr w:type="spellStart"/>
    <w:r w:rsidRPr="00EF65E4">
      <w:rPr>
        <w:rFonts w:ascii="CG Omega" w:hAnsi="CG Omega" w:cs="Raavi"/>
        <w:color w:val="005FA4"/>
        <w:sz w:val="24"/>
        <w:szCs w:val="24"/>
      </w:rPr>
      <w:t>of</w:t>
    </w:r>
    <w:proofErr w:type="spellEnd"/>
    <w:r w:rsidRPr="00EF65E4">
      <w:rPr>
        <w:rFonts w:ascii="CG Omega" w:hAnsi="CG Omega" w:cs="Raavi"/>
        <w:color w:val="005FA4"/>
        <w:sz w:val="24"/>
        <w:szCs w:val="24"/>
      </w:rPr>
      <w:t xml:space="preserve"> </w:t>
    </w:r>
    <w:proofErr w:type="spellStart"/>
    <w:r w:rsidRPr="00EF65E4">
      <w:rPr>
        <w:rFonts w:ascii="CG Omega" w:hAnsi="CG Omega" w:cs="Raavi"/>
        <w:color w:val="005FA4"/>
        <w:sz w:val="24"/>
        <w:szCs w:val="24"/>
      </w:rPr>
      <w:t>the</w:t>
    </w:r>
    <w:proofErr w:type="spellEnd"/>
    <w:r w:rsidRPr="00EF65E4">
      <w:rPr>
        <w:rFonts w:ascii="CG Omega" w:hAnsi="CG Omega" w:cs="Raavi"/>
        <w:color w:val="005FA4"/>
        <w:sz w:val="24"/>
        <w:szCs w:val="24"/>
      </w:rPr>
      <w:t xml:space="preserve"> </w:t>
    </w:r>
    <w:proofErr w:type="spellStart"/>
    <w:r w:rsidRPr="00EF65E4">
      <w:rPr>
        <w:rFonts w:ascii="CG Omega" w:hAnsi="CG Omega" w:cs="Raavi"/>
        <w:color w:val="005FA4"/>
        <w:sz w:val="24"/>
        <w:szCs w:val="24"/>
      </w:rPr>
      <w:t>Czech</w:t>
    </w:r>
    <w:proofErr w:type="spellEnd"/>
    <w:r w:rsidRPr="00EF65E4">
      <w:rPr>
        <w:rFonts w:ascii="CG Omega" w:hAnsi="CG Omega" w:cs="Raavi"/>
        <w:color w:val="005FA4"/>
        <w:sz w:val="24"/>
        <w:szCs w:val="24"/>
      </w:rPr>
      <w:t xml:space="preserve"> </w:t>
    </w:r>
    <w:proofErr w:type="spellStart"/>
    <w:r w:rsidRPr="00EF65E4">
      <w:rPr>
        <w:rFonts w:ascii="CG Omega" w:hAnsi="CG Omega" w:cs="Raavi"/>
        <w:color w:val="005FA4"/>
        <w:sz w:val="24"/>
        <w:szCs w:val="24"/>
      </w:rPr>
      <w:t>Republic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upperLetter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>
    <w:nsid w:val="03EC2A6C"/>
    <w:multiLevelType w:val="hybridMultilevel"/>
    <w:tmpl w:val="20D868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D43CF"/>
    <w:multiLevelType w:val="hybridMultilevel"/>
    <w:tmpl w:val="D44ACCE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D1078"/>
    <w:multiLevelType w:val="hybridMultilevel"/>
    <w:tmpl w:val="6EC61D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4002D5"/>
    <w:multiLevelType w:val="hybridMultilevel"/>
    <w:tmpl w:val="A46E79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D35E9"/>
    <w:multiLevelType w:val="hybridMultilevel"/>
    <w:tmpl w:val="1E2863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95173"/>
    <w:multiLevelType w:val="hybridMultilevel"/>
    <w:tmpl w:val="D0445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4663F"/>
    <w:multiLevelType w:val="hybridMultilevel"/>
    <w:tmpl w:val="1D1AE0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F74F48"/>
    <w:multiLevelType w:val="hybridMultilevel"/>
    <w:tmpl w:val="7DC0938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2C592B"/>
    <w:multiLevelType w:val="hybridMultilevel"/>
    <w:tmpl w:val="23F6D8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1B06AA"/>
    <w:multiLevelType w:val="hybridMultilevel"/>
    <w:tmpl w:val="A12C8706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2A2763FD"/>
    <w:multiLevelType w:val="hybridMultilevel"/>
    <w:tmpl w:val="2A127F02"/>
    <w:lvl w:ilvl="0" w:tplc="040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2EEB199D"/>
    <w:multiLevelType w:val="hybridMultilevel"/>
    <w:tmpl w:val="9DB233C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BA123B"/>
    <w:multiLevelType w:val="hybridMultilevel"/>
    <w:tmpl w:val="19C62296"/>
    <w:lvl w:ilvl="0" w:tplc="040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39830AD0"/>
    <w:multiLevelType w:val="hybridMultilevel"/>
    <w:tmpl w:val="96FA7CA2"/>
    <w:lvl w:ilvl="0" w:tplc="43F0AF74">
      <w:numFmt w:val="bullet"/>
      <w:lvlText w:val="•"/>
      <w:lvlJc w:val="left"/>
      <w:pPr>
        <w:ind w:left="781" w:hanging="705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3DAB0308"/>
    <w:multiLevelType w:val="hybridMultilevel"/>
    <w:tmpl w:val="3D58DD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8456CB"/>
    <w:multiLevelType w:val="hybridMultilevel"/>
    <w:tmpl w:val="E3E42B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4E65D1"/>
    <w:multiLevelType w:val="hybridMultilevel"/>
    <w:tmpl w:val="ABEC0902"/>
    <w:lvl w:ilvl="0" w:tplc="040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51B144C3"/>
    <w:multiLevelType w:val="hybridMultilevel"/>
    <w:tmpl w:val="61CEA720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589B761F"/>
    <w:multiLevelType w:val="hybridMultilevel"/>
    <w:tmpl w:val="B3E86E32"/>
    <w:lvl w:ilvl="0" w:tplc="317AA5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0840CF"/>
    <w:multiLevelType w:val="hybridMultilevel"/>
    <w:tmpl w:val="2DF214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A713B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4BF1F85"/>
    <w:multiLevelType w:val="hybridMultilevel"/>
    <w:tmpl w:val="F3468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4E1CDF"/>
    <w:multiLevelType w:val="hybridMultilevel"/>
    <w:tmpl w:val="31447F10"/>
    <w:lvl w:ilvl="0" w:tplc="F886B8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23"/>
  </w:num>
  <w:num w:numId="4">
    <w:abstractNumId w:val="9"/>
  </w:num>
  <w:num w:numId="5">
    <w:abstractNumId w:val="5"/>
  </w:num>
  <w:num w:numId="6">
    <w:abstractNumId w:val="19"/>
  </w:num>
  <w:num w:numId="7">
    <w:abstractNumId w:val="4"/>
  </w:num>
  <w:num w:numId="8">
    <w:abstractNumId w:val="8"/>
  </w:num>
  <w:num w:numId="9">
    <w:abstractNumId w:val="14"/>
  </w:num>
  <w:num w:numId="10">
    <w:abstractNumId w:val="16"/>
  </w:num>
  <w:num w:numId="11">
    <w:abstractNumId w:val="10"/>
  </w:num>
  <w:num w:numId="12">
    <w:abstractNumId w:val="6"/>
  </w:num>
  <w:num w:numId="13">
    <w:abstractNumId w:val="22"/>
  </w:num>
  <w:num w:numId="14">
    <w:abstractNumId w:val="18"/>
  </w:num>
  <w:num w:numId="15">
    <w:abstractNumId w:val="11"/>
  </w:num>
  <w:num w:numId="16">
    <w:abstractNumId w:val="2"/>
  </w:num>
  <w:num w:numId="17">
    <w:abstractNumId w:val="13"/>
  </w:num>
  <w:num w:numId="18">
    <w:abstractNumId w:val="17"/>
  </w:num>
  <w:num w:numId="19">
    <w:abstractNumId w:val="1"/>
  </w:num>
  <w:num w:numId="20">
    <w:abstractNumId w:val="0"/>
  </w:num>
  <w:num w:numId="21">
    <w:abstractNumId w:val="20"/>
  </w:num>
  <w:num w:numId="22">
    <w:abstractNumId w:val="15"/>
  </w:num>
  <w:num w:numId="23">
    <w:abstractNumId w:val="12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80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6E14D4"/>
    <w:rsid w:val="00006F6F"/>
    <w:rsid w:val="000075C8"/>
    <w:rsid w:val="00011843"/>
    <w:rsid w:val="00015A35"/>
    <w:rsid w:val="00021C2F"/>
    <w:rsid w:val="00032275"/>
    <w:rsid w:val="0003442F"/>
    <w:rsid w:val="00044AEC"/>
    <w:rsid w:val="000538FC"/>
    <w:rsid w:val="00064944"/>
    <w:rsid w:val="000702DC"/>
    <w:rsid w:val="000A55FE"/>
    <w:rsid w:val="000A7025"/>
    <w:rsid w:val="000B4986"/>
    <w:rsid w:val="000C6126"/>
    <w:rsid w:val="000E5B91"/>
    <w:rsid w:val="001050A4"/>
    <w:rsid w:val="00105BBB"/>
    <w:rsid w:val="00106675"/>
    <w:rsid w:val="0012530D"/>
    <w:rsid w:val="0013075B"/>
    <w:rsid w:val="00130D48"/>
    <w:rsid w:val="00133C9B"/>
    <w:rsid w:val="001378E9"/>
    <w:rsid w:val="001463FF"/>
    <w:rsid w:val="00157BA7"/>
    <w:rsid w:val="0019279B"/>
    <w:rsid w:val="001A2C52"/>
    <w:rsid w:val="001B2207"/>
    <w:rsid w:val="001C002A"/>
    <w:rsid w:val="001C1F58"/>
    <w:rsid w:val="001C722C"/>
    <w:rsid w:val="001D0263"/>
    <w:rsid w:val="001E28A5"/>
    <w:rsid w:val="001E310E"/>
    <w:rsid w:val="001F5E2B"/>
    <w:rsid w:val="0020289B"/>
    <w:rsid w:val="0022661D"/>
    <w:rsid w:val="002433E8"/>
    <w:rsid w:val="00255EF5"/>
    <w:rsid w:val="00261213"/>
    <w:rsid w:val="00262C02"/>
    <w:rsid w:val="00273377"/>
    <w:rsid w:val="00290F1D"/>
    <w:rsid w:val="002A761C"/>
    <w:rsid w:val="002B0E1E"/>
    <w:rsid w:val="002B221A"/>
    <w:rsid w:val="003005DD"/>
    <w:rsid w:val="003012DE"/>
    <w:rsid w:val="0030228C"/>
    <w:rsid w:val="00325E0E"/>
    <w:rsid w:val="003466A1"/>
    <w:rsid w:val="003510F8"/>
    <w:rsid w:val="0036516B"/>
    <w:rsid w:val="00386195"/>
    <w:rsid w:val="0038674E"/>
    <w:rsid w:val="00396EF8"/>
    <w:rsid w:val="003B2382"/>
    <w:rsid w:val="003E4514"/>
    <w:rsid w:val="003E5331"/>
    <w:rsid w:val="003F3E87"/>
    <w:rsid w:val="00402621"/>
    <w:rsid w:val="00404034"/>
    <w:rsid w:val="00406E56"/>
    <w:rsid w:val="00407F94"/>
    <w:rsid w:val="004124F3"/>
    <w:rsid w:val="00430101"/>
    <w:rsid w:val="00430753"/>
    <w:rsid w:val="004626C4"/>
    <w:rsid w:val="0047207D"/>
    <w:rsid w:val="00473880"/>
    <w:rsid w:val="004841E2"/>
    <w:rsid w:val="004A072B"/>
    <w:rsid w:val="004A2979"/>
    <w:rsid w:val="004A72FF"/>
    <w:rsid w:val="004C3388"/>
    <w:rsid w:val="004D7FB3"/>
    <w:rsid w:val="004E5E29"/>
    <w:rsid w:val="00500ABF"/>
    <w:rsid w:val="0050201F"/>
    <w:rsid w:val="0050763B"/>
    <w:rsid w:val="00531375"/>
    <w:rsid w:val="00540D37"/>
    <w:rsid w:val="00556A39"/>
    <w:rsid w:val="0056247D"/>
    <w:rsid w:val="00580723"/>
    <w:rsid w:val="00587D54"/>
    <w:rsid w:val="005B3710"/>
    <w:rsid w:val="005E6152"/>
    <w:rsid w:val="005F0EF5"/>
    <w:rsid w:val="005F3427"/>
    <w:rsid w:val="005F451A"/>
    <w:rsid w:val="00605E34"/>
    <w:rsid w:val="00662041"/>
    <w:rsid w:val="006A4506"/>
    <w:rsid w:val="006A7A3D"/>
    <w:rsid w:val="006D677E"/>
    <w:rsid w:val="006D7250"/>
    <w:rsid w:val="006E14D4"/>
    <w:rsid w:val="0070117E"/>
    <w:rsid w:val="00702DB5"/>
    <w:rsid w:val="00707142"/>
    <w:rsid w:val="0073631C"/>
    <w:rsid w:val="007604C1"/>
    <w:rsid w:val="00760D7F"/>
    <w:rsid w:val="007918E2"/>
    <w:rsid w:val="007A01BB"/>
    <w:rsid w:val="007A1EBA"/>
    <w:rsid w:val="007D5038"/>
    <w:rsid w:val="007E5F41"/>
    <w:rsid w:val="007E682B"/>
    <w:rsid w:val="0080186C"/>
    <w:rsid w:val="008236AF"/>
    <w:rsid w:val="00823D47"/>
    <w:rsid w:val="00835DE1"/>
    <w:rsid w:val="00840C14"/>
    <w:rsid w:val="0085043A"/>
    <w:rsid w:val="008522A3"/>
    <w:rsid w:val="00870089"/>
    <w:rsid w:val="00890B4B"/>
    <w:rsid w:val="0089487F"/>
    <w:rsid w:val="00896369"/>
    <w:rsid w:val="008C1D76"/>
    <w:rsid w:val="008D3098"/>
    <w:rsid w:val="008D521D"/>
    <w:rsid w:val="008E41D4"/>
    <w:rsid w:val="008F20F2"/>
    <w:rsid w:val="00910D47"/>
    <w:rsid w:val="00912B1A"/>
    <w:rsid w:val="009304EF"/>
    <w:rsid w:val="009342C4"/>
    <w:rsid w:val="009376D3"/>
    <w:rsid w:val="0095379B"/>
    <w:rsid w:val="00954972"/>
    <w:rsid w:val="0096418F"/>
    <w:rsid w:val="0096714F"/>
    <w:rsid w:val="00971535"/>
    <w:rsid w:val="009917E8"/>
    <w:rsid w:val="009B4A41"/>
    <w:rsid w:val="009E3147"/>
    <w:rsid w:val="00A02AFE"/>
    <w:rsid w:val="00A1117B"/>
    <w:rsid w:val="00A13658"/>
    <w:rsid w:val="00A166A4"/>
    <w:rsid w:val="00A2278B"/>
    <w:rsid w:val="00A44F43"/>
    <w:rsid w:val="00A55D41"/>
    <w:rsid w:val="00A60B44"/>
    <w:rsid w:val="00A63332"/>
    <w:rsid w:val="00A65856"/>
    <w:rsid w:val="00A66164"/>
    <w:rsid w:val="00A770D0"/>
    <w:rsid w:val="00A8273A"/>
    <w:rsid w:val="00A97000"/>
    <w:rsid w:val="00AB135B"/>
    <w:rsid w:val="00AD2C5D"/>
    <w:rsid w:val="00AD5290"/>
    <w:rsid w:val="00AE1180"/>
    <w:rsid w:val="00AE1586"/>
    <w:rsid w:val="00AE3BA5"/>
    <w:rsid w:val="00AF5D83"/>
    <w:rsid w:val="00B03974"/>
    <w:rsid w:val="00B03BB9"/>
    <w:rsid w:val="00B04128"/>
    <w:rsid w:val="00B11796"/>
    <w:rsid w:val="00B11D72"/>
    <w:rsid w:val="00B1369D"/>
    <w:rsid w:val="00B63A72"/>
    <w:rsid w:val="00B7529D"/>
    <w:rsid w:val="00B77126"/>
    <w:rsid w:val="00B83705"/>
    <w:rsid w:val="00B94002"/>
    <w:rsid w:val="00BA0530"/>
    <w:rsid w:val="00BA25D2"/>
    <w:rsid w:val="00BA2B12"/>
    <w:rsid w:val="00BB671F"/>
    <w:rsid w:val="00BD1085"/>
    <w:rsid w:val="00BE679A"/>
    <w:rsid w:val="00BF09E7"/>
    <w:rsid w:val="00C220A9"/>
    <w:rsid w:val="00C32BE6"/>
    <w:rsid w:val="00C343A7"/>
    <w:rsid w:val="00C36742"/>
    <w:rsid w:val="00C40E56"/>
    <w:rsid w:val="00C54C7D"/>
    <w:rsid w:val="00C653DA"/>
    <w:rsid w:val="00C802E1"/>
    <w:rsid w:val="00C9219D"/>
    <w:rsid w:val="00CA2127"/>
    <w:rsid w:val="00CA2AEC"/>
    <w:rsid w:val="00CA7E20"/>
    <w:rsid w:val="00CC4928"/>
    <w:rsid w:val="00CC4CC3"/>
    <w:rsid w:val="00CE5C0C"/>
    <w:rsid w:val="00CF29F8"/>
    <w:rsid w:val="00D10CE3"/>
    <w:rsid w:val="00D12C0B"/>
    <w:rsid w:val="00D204A9"/>
    <w:rsid w:val="00D24F0A"/>
    <w:rsid w:val="00D3779C"/>
    <w:rsid w:val="00D42B80"/>
    <w:rsid w:val="00D6020C"/>
    <w:rsid w:val="00D6030A"/>
    <w:rsid w:val="00D74A61"/>
    <w:rsid w:val="00D74FE4"/>
    <w:rsid w:val="00DA7C03"/>
    <w:rsid w:val="00DC23FA"/>
    <w:rsid w:val="00DC639F"/>
    <w:rsid w:val="00DD30F6"/>
    <w:rsid w:val="00DD5CE1"/>
    <w:rsid w:val="00DE1906"/>
    <w:rsid w:val="00DE1CDB"/>
    <w:rsid w:val="00E03480"/>
    <w:rsid w:val="00E324DE"/>
    <w:rsid w:val="00E375E1"/>
    <w:rsid w:val="00E42CAA"/>
    <w:rsid w:val="00E45824"/>
    <w:rsid w:val="00E5562F"/>
    <w:rsid w:val="00E661F9"/>
    <w:rsid w:val="00E66622"/>
    <w:rsid w:val="00E81FCE"/>
    <w:rsid w:val="00E8793E"/>
    <w:rsid w:val="00E9172E"/>
    <w:rsid w:val="00E97917"/>
    <w:rsid w:val="00EB74EB"/>
    <w:rsid w:val="00EC1ADA"/>
    <w:rsid w:val="00EC32B9"/>
    <w:rsid w:val="00ED2F07"/>
    <w:rsid w:val="00EE76FD"/>
    <w:rsid w:val="00EF65E4"/>
    <w:rsid w:val="00F008EF"/>
    <w:rsid w:val="00F05194"/>
    <w:rsid w:val="00F1116C"/>
    <w:rsid w:val="00F12A31"/>
    <w:rsid w:val="00F31E59"/>
    <w:rsid w:val="00F4135F"/>
    <w:rsid w:val="00F41F64"/>
    <w:rsid w:val="00F42CDC"/>
    <w:rsid w:val="00F52051"/>
    <w:rsid w:val="00F57A85"/>
    <w:rsid w:val="00F7070D"/>
    <w:rsid w:val="00F87773"/>
    <w:rsid w:val="00FC4591"/>
    <w:rsid w:val="00FD3EE4"/>
    <w:rsid w:val="00FE2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841E2"/>
  </w:style>
  <w:style w:type="paragraph" w:styleId="Nadpis1">
    <w:name w:val="heading 1"/>
    <w:basedOn w:val="Normln"/>
    <w:next w:val="Normln"/>
    <w:qFormat/>
    <w:rsid w:val="004841E2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4841E2"/>
    <w:pPr>
      <w:keepNext/>
      <w:jc w:val="both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841E2"/>
    <w:rPr>
      <w:color w:val="0000FF"/>
      <w:u w:val="single"/>
    </w:rPr>
  </w:style>
  <w:style w:type="paragraph" w:styleId="Zhlav">
    <w:name w:val="header"/>
    <w:basedOn w:val="Normln"/>
    <w:rsid w:val="004841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4841E2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840C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patChar">
    <w:name w:val="Zápatí Char"/>
    <w:basedOn w:val="Standardnpsmoodstavce"/>
    <w:link w:val="Zpat"/>
    <w:rsid w:val="00B94002"/>
  </w:style>
  <w:style w:type="paragraph" w:styleId="Odstavecseseznamem">
    <w:name w:val="List Paragraph"/>
    <w:basedOn w:val="Normln"/>
    <w:uiPriority w:val="34"/>
    <w:qFormat/>
    <w:rsid w:val="001C00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B03BB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B03BB9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Normln1">
    <w:name w:val="Normální1"/>
    <w:rsid w:val="00DC23FA"/>
    <w:rPr>
      <w:rFonts w:ascii="Cambria" w:eastAsia="ヒラギノ角ゴ Pro W3" w:hAnsi="Cambria"/>
      <w:color w:val="000000"/>
      <w:sz w:val="24"/>
      <w:lang w:val="en-US"/>
    </w:rPr>
  </w:style>
  <w:style w:type="paragraph" w:customStyle="1" w:styleId="Odstavecseseznamem1">
    <w:name w:val="Odstavec se seznamem1"/>
    <w:rsid w:val="006D7250"/>
    <w:pPr>
      <w:ind w:left="720"/>
    </w:pPr>
    <w:rPr>
      <w:rFonts w:ascii="Cambria" w:eastAsia="ヒラギノ角ゴ Pro W3" w:hAnsi="Cambria"/>
      <w:color w:val="000000"/>
      <w:sz w:val="24"/>
      <w:lang w:val="en-US"/>
    </w:rPr>
  </w:style>
  <w:style w:type="paragraph" w:customStyle="1" w:styleId="Zkladntext">
    <w:name w:val="Z‡kladn’ text"/>
    <w:basedOn w:val="Normln"/>
    <w:rsid w:val="00A63332"/>
    <w:pPr>
      <w:tabs>
        <w:tab w:val="left" w:pos="567"/>
      </w:tabs>
      <w:autoSpaceDE w:val="0"/>
      <w:autoSpaceDN w:val="0"/>
      <w:spacing w:after="12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841E2"/>
  </w:style>
  <w:style w:type="paragraph" w:styleId="Nadpis1">
    <w:name w:val="heading 1"/>
    <w:basedOn w:val="Normln"/>
    <w:next w:val="Normln"/>
    <w:qFormat/>
    <w:rsid w:val="004841E2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4841E2"/>
    <w:pPr>
      <w:keepNext/>
      <w:jc w:val="both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841E2"/>
    <w:rPr>
      <w:color w:val="0000FF"/>
      <w:u w:val="single"/>
    </w:rPr>
  </w:style>
  <w:style w:type="paragraph" w:styleId="Zhlav">
    <w:name w:val="header"/>
    <w:basedOn w:val="Normln"/>
    <w:rsid w:val="004841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4841E2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840C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patChar">
    <w:name w:val="Zápatí Char"/>
    <w:basedOn w:val="Standardnpsmoodstavce"/>
    <w:link w:val="Zpat"/>
    <w:rsid w:val="00B94002"/>
  </w:style>
  <w:style w:type="paragraph" w:styleId="Odstavecseseznamem">
    <w:name w:val="List Paragraph"/>
    <w:basedOn w:val="Normln"/>
    <w:uiPriority w:val="34"/>
    <w:qFormat/>
    <w:rsid w:val="001C00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B03BB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B03BB9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fraevents.cz/novela-energetickeho-zakona-a-energeticka-bezpecnost-cr-p24-/konference.aspx?c=A150330_145600_pripravovane-konference_kni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Hlavička dopisního papíru SP ČR</vt:lpstr>
    </vt:vector>
  </TitlesOfParts>
  <Manager>Ing. Zdeněk Liška</Manager>
  <Company>Svaz průmyslu a dopravy ČR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Hlavička dopisního papíru SP ČR</dc:title>
  <dc:creator>Petra Ježková</dc:creator>
  <cp:lastModifiedBy>jjanda</cp:lastModifiedBy>
  <cp:revision>2</cp:revision>
  <cp:lastPrinted>2012-02-13T13:17:00Z</cp:lastPrinted>
  <dcterms:created xsi:type="dcterms:W3CDTF">2015-04-24T13:58:00Z</dcterms:created>
  <dcterms:modified xsi:type="dcterms:W3CDTF">2015-04-24T13:58:00Z</dcterms:modified>
</cp:coreProperties>
</file>