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E9" w:rsidRPr="00267151" w:rsidRDefault="006F2DF2" w:rsidP="009250E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0E9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="009250E9">
        <w:rPr>
          <w:rFonts w:ascii="Times New Roman" w:hAnsi="Times New Roman" w:cs="Times New Roman"/>
          <w:b/>
          <w:sz w:val="24"/>
          <w:szCs w:val="24"/>
        </w:rPr>
        <w:t xml:space="preserve">VĚRY </w:t>
      </w:r>
      <w:r w:rsidR="009250E9" w:rsidRPr="00267151">
        <w:rPr>
          <w:rFonts w:ascii="Times New Roman" w:hAnsi="Times New Roman" w:cs="Times New Roman"/>
          <w:b/>
          <w:sz w:val="24"/>
          <w:szCs w:val="24"/>
        </w:rPr>
        <w:t xml:space="preserve"> SEMINÁŘE</w:t>
      </w:r>
      <w:r>
        <w:rPr>
          <w:rFonts w:ascii="Times New Roman" w:hAnsi="Times New Roman" w:cs="Times New Roman"/>
          <w:b/>
          <w:sz w:val="24"/>
          <w:szCs w:val="24"/>
        </w:rPr>
        <w:t xml:space="preserve">  -  </w:t>
      </w:r>
      <w:r w:rsidR="00987B66">
        <w:rPr>
          <w:rFonts w:ascii="Times New Roman" w:hAnsi="Times New Roman" w:cs="Times New Roman"/>
          <w:b/>
          <w:sz w:val="24"/>
          <w:szCs w:val="24"/>
        </w:rPr>
        <w:t>návrh</w:t>
      </w:r>
    </w:p>
    <w:p w:rsidR="009250E9" w:rsidRDefault="009250E9" w:rsidP="009250E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151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Konkurenceschopnost českého ocelářského průmyslu</w:t>
      </w:r>
      <w:r w:rsidRPr="00267151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9250E9" w:rsidRPr="00267151" w:rsidRDefault="009250E9" w:rsidP="009250E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pozice r. 2016</w:t>
      </w:r>
    </w:p>
    <w:p w:rsidR="009250E9" w:rsidRDefault="009250E9" w:rsidP="009250E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151">
        <w:rPr>
          <w:rFonts w:ascii="Times New Roman" w:hAnsi="Times New Roman" w:cs="Times New Roman"/>
          <w:b/>
          <w:sz w:val="24"/>
          <w:szCs w:val="24"/>
        </w:rPr>
        <w:t xml:space="preserve">Praha </w:t>
      </w:r>
      <w:r>
        <w:rPr>
          <w:rFonts w:ascii="Times New Roman" w:hAnsi="Times New Roman" w:cs="Times New Roman"/>
          <w:b/>
          <w:sz w:val="24"/>
          <w:szCs w:val="24"/>
        </w:rPr>
        <w:t>25. 5. 2016</w:t>
      </w:r>
    </w:p>
    <w:p w:rsidR="009250E9" w:rsidRPr="009250E9" w:rsidRDefault="009250E9" w:rsidP="009250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155" w:rsidRDefault="00656155" w:rsidP="00656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155">
        <w:rPr>
          <w:rFonts w:ascii="Times New Roman" w:hAnsi="Times New Roman" w:cs="Times New Roman"/>
          <w:sz w:val="24"/>
          <w:szCs w:val="24"/>
        </w:rPr>
        <w:t>Semináři př</w:t>
      </w:r>
      <w:r>
        <w:rPr>
          <w:rFonts w:ascii="Times New Roman" w:hAnsi="Times New Roman" w:cs="Times New Roman"/>
          <w:sz w:val="24"/>
          <w:szCs w:val="24"/>
        </w:rPr>
        <w:t>edložený materiál určuje zásadní faktory konkurenceschopnosti českého ocelářského průmyslu a specifikuje řešení k vytvoření rovnocenných podmínek s výhledem na období do r. 2020.</w:t>
      </w:r>
    </w:p>
    <w:p w:rsidR="00656155" w:rsidRDefault="00656155" w:rsidP="006F2DF2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Situace v celé EU vyžaduje, aby orgány EU a členské státy přijaly konkrétní opatření, která by ochránila </w:t>
      </w:r>
      <w:r w:rsidR="00C07D84">
        <w:rPr>
          <w:rFonts w:ascii="Times New Roman" w:hAnsi="Times New Roman" w:cs="Times New Roman"/>
          <w:sz w:val="24"/>
          <w:szCs w:val="24"/>
        </w:rPr>
        <w:t>pozici průmyslu v Evropě a</w:t>
      </w:r>
      <w:r>
        <w:rPr>
          <w:rFonts w:ascii="Times New Roman" w:hAnsi="Times New Roman" w:cs="Times New Roman"/>
          <w:sz w:val="24"/>
          <w:szCs w:val="24"/>
        </w:rPr>
        <w:t xml:space="preserve"> přinesla růst ekonomiky</w:t>
      </w:r>
      <w:r w:rsidR="00C07D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ochránila udržitelná pracovní místa.</w:t>
      </w:r>
    </w:p>
    <w:p w:rsidR="00656155" w:rsidRDefault="00656155" w:rsidP="006F2DF2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Opatření, která pomohou energeticky náročným odvětvím k adaptaci, inovaci, ke konkurenceschopnosti vychází z možností nejmodernějších technologií, efektivní výroby a vysoce kvalifikované pracovní síly. Jde zásadně o</w:t>
      </w:r>
    </w:p>
    <w:p w:rsidR="00656155" w:rsidRDefault="00656155" w:rsidP="0065615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obnovení rovných podmínek na světovém trhu,</w:t>
      </w:r>
      <w:r w:rsidR="002606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6155" w:rsidRDefault="00656155" w:rsidP="0065615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modernizaci nástrojů EU na ochranu obchodu (a spravedlivý obchod), zabránění nekalým obchodním praktikám,</w:t>
      </w:r>
    </w:p>
    <w:p w:rsidR="00656155" w:rsidRDefault="00656155" w:rsidP="0065615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rozhodné využití (realizaci) výsledků výzkumu, vývoje, investování do nejmodernějších technologií,</w:t>
      </w:r>
      <w:r w:rsidR="00905B46">
        <w:rPr>
          <w:rFonts w:ascii="Times New Roman" w:hAnsi="Times New Roman" w:cs="Times New Roman"/>
          <w:sz w:val="24"/>
          <w:szCs w:val="24"/>
        </w:rPr>
        <w:t xml:space="preserve"> radikální řešení inovací, kvality sortimentu hutní produkce,</w:t>
      </w:r>
    </w:p>
    <w:p w:rsidR="00905B46" w:rsidRDefault="00AE1B4B" w:rsidP="0065615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účinné řešení agend ekologie (jak legislativních aspektů, tak věcné řešení parametrů životního prostředí) a faktorů energetiky (dostupnost, akceptovatelnost cen ve vlivu na konkurenceschopnost).</w:t>
      </w:r>
    </w:p>
    <w:p w:rsidR="00AE1B4B" w:rsidRDefault="00AE1B4B" w:rsidP="00AE1B4B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1B4B" w:rsidRPr="006F2DF2" w:rsidRDefault="00AE1B4B" w:rsidP="00AE1B4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Konkrétní oblasti řešení rovnocenných podmínek </w:t>
      </w:r>
      <w:r w:rsidRPr="006F2DF2">
        <w:rPr>
          <w:rFonts w:ascii="Times New Roman" w:hAnsi="Times New Roman" w:cs="Times New Roman"/>
          <w:color w:val="000000" w:themeColor="text1"/>
          <w:sz w:val="24"/>
          <w:szCs w:val="24"/>
        </w:rPr>
        <w:t>pro ocelářství</w:t>
      </w:r>
    </w:p>
    <w:p w:rsidR="001F79E2" w:rsidRPr="006F2DF2" w:rsidRDefault="00AE1B4B" w:rsidP="001F79E2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Ochrana proti nekalým obchodním praktikám (antidumpingová opatření a urychlení jejich přijímání), modernizace nástrojů možnosti postihu subvenčních opatření, uplatnění cel včetně odstranění pravidla </w:t>
      </w:r>
      <w:proofErr w:type="gramStart"/>
      <w:r w:rsidRPr="006F2DF2">
        <w:rPr>
          <w:rFonts w:ascii="Times New Roman" w:hAnsi="Times New Roman" w:cs="Times New Roman"/>
          <w:color w:val="000000" w:themeColor="text1"/>
          <w:sz w:val="24"/>
          <w:szCs w:val="24"/>
        </w:rPr>
        <w:t>t.zv</w:t>
      </w:r>
      <w:proofErr w:type="gramEnd"/>
      <w:r w:rsidRPr="006F2DF2">
        <w:rPr>
          <w:rFonts w:ascii="Times New Roman" w:hAnsi="Times New Roman" w:cs="Times New Roman"/>
          <w:color w:val="000000" w:themeColor="text1"/>
          <w:sz w:val="24"/>
          <w:szCs w:val="24"/>
        </w:rPr>
        <w:t>. nižších cel.</w:t>
      </w:r>
      <w:r w:rsidR="001F79E2" w:rsidRPr="006F2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V této oblasti je zejména nutné zabránit zaplavení trhu zemí EU levnými dovozy z Číny, ke kterému by došlo přiznáním tržního statutu. Při dovozech do ČR došlo </w:t>
      </w:r>
      <w:r w:rsidR="002A7789" w:rsidRPr="006F2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poslední době </w:t>
      </w:r>
      <w:r w:rsidR="001F79E2" w:rsidRPr="006F2DF2">
        <w:rPr>
          <w:rFonts w:ascii="Times New Roman" w:hAnsi="Times New Roman" w:cs="Times New Roman"/>
          <w:color w:val="000000" w:themeColor="text1"/>
          <w:sz w:val="24"/>
          <w:szCs w:val="24"/>
        </w:rPr>
        <w:t>k velkému nárůstu dovozu u</w:t>
      </w:r>
      <w:r w:rsidR="002A7789" w:rsidRPr="006F2DF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1F79E2" w:rsidRPr="006F2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výrobků, které nejsou dosud chráněny antidumpingovým clem, </w:t>
      </w:r>
      <w:r w:rsidR="001F79E2" w:rsidRPr="006F2DF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zejména plechů válcovaných za tepla, tyčové oceli</w:t>
      </w:r>
      <w:r w:rsidR="002A7789" w:rsidRPr="006F2DF2">
        <w:rPr>
          <w:rFonts w:ascii="Times New Roman" w:hAnsi="Times New Roman" w:cs="Times New Roman"/>
          <w:color w:val="000000" w:themeColor="text1"/>
          <w:sz w:val="24"/>
          <w:szCs w:val="24"/>
        </w:rPr>
        <w:t>, taženého drátu</w:t>
      </w:r>
      <w:r w:rsidR="001F79E2" w:rsidRPr="006F2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pozinkovaných plechů.</w:t>
      </w:r>
    </w:p>
    <w:p w:rsidR="002A7789" w:rsidRPr="006F2DF2" w:rsidRDefault="002A7789" w:rsidP="002A7789">
      <w:pPr>
        <w:pStyle w:val="Odstavecseseznamem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DF2">
        <w:rPr>
          <w:rFonts w:ascii="Times New Roman" w:hAnsi="Times New Roman" w:cs="Times New Roman"/>
          <w:color w:val="000000" w:themeColor="text1"/>
          <w:sz w:val="24"/>
          <w:szCs w:val="24"/>
        </w:rPr>
        <w:t>Proto je nutno soustředit se společně s EUROFER, ESTA, AEGIS a Evropským parlamentem na argumentaci, vedoucí k nepřiznání tržního statutu Číně.</w:t>
      </w:r>
    </w:p>
    <w:p w:rsidR="00AE1B4B" w:rsidRPr="006F2DF2" w:rsidRDefault="00AE1B4B" w:rsidP="00AE1B4B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DF2">
        <w:rPr>
          <w:rFonts w:ascii="Times New Roman" w:hAnsi="Times New Roman" w:cs="Times New Roman"/>
          <w:color w:val="000000" w:themeColor="text1"/>
          <w:sz w:val="24"/>
          <w:szCs w:val="24"/>
        </w:rPr>
        <w:t>Investice do budoucích řešení technologii, energetické účinnosti, zachycování a využívání uhlíku. Na úrovni EU jsou k dispozici fondy, které podpoří ocelářský průmysl</w:t>
      </w:r>
    </w:p>
    <w:p w:rsidR="00AE1B4B" w:rsidRPr="006F2DF2" w:rsidRDefault="00AE1B4B" w:rsidP="00AE1B4B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DF2">
        <w:rPr>
          <w:rFonts w:ascii="Times New Roman" w:hAnsi="Times New Roman" w:cs="Times New Roman"/>
          <w:color w:val="000000" w:themeColor="text1"/>
          <w:sz w:val="24"/>
          <w:szCs w:val="24"/>
        </w:rPr>
        <w:t>Evropský fond pro strategické investice (315 mld. EUR),</w:t>
      </w:r>
    </w:p>
    <w:p w:rsidR="00AE1B4B" w:rsidRPr="006F2DF2" w:rsidRDefault="00AE1B4B" w:rsidP="00AE1B4B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DF2">
        <w:rPr>
          <w:rFonts w:ascii="Times New Roman" w:hAnsi="Times New Roman" w:cs="Times New Roman"/>
          <w:color w:val="000000" w:themeColor="text1"/>
          <w:sz w:val="24"/>
          <w:szCs w:val="24"/>
        </w:rPr>
        <w:t>strukturální a investiční fondy EU, financování výzkumu Horizont 2020,</w:t>
      </w:r>
    </w:p>
    <w:p w:rsidR="00AE1B4B" w:rsidRPr="006F2DF2" w:rsidRDefault="00AE1B4B" w:rsidP="00AE1B4B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DF2">
        <w:rPr>
          <w:rFonts w:ascii="Times New Roman" w:hAnsi="Times New Roman" w:cs="Times New Roman"/>
          <w:color w:val="000000" w:themeColor="text1"/>
          <w:sz w:val="24"/>
          <w:szCs w:val="24"/>
        </w:rPr>
        <w:t>RFCS (</w:t>
      </w:r>
      <w:r w:rsidR="005933E9" w:rsidRPr="006F2DF2">
        <w:rPr>
          <w:rFonts w:ascii="Times New Roman" w:hAnsi="Times New Roman" w:cs="Times New Roman"/>
          <w:color w:val="000000" w:themeColor="text1"/>
          <w:sz w:val="24"/>
          <w:szCs w:val="24"/>
        </w:rPr>
        <w:t>Research fund Coal, Steel) projektů výzkumu, vývoje, inovací.</w:t>
      </w:r>
    </w:p>
    <w:p w:rsidR="005933E9" w:rsidRPr="006F2DF2" w:rsidRDefault="005933E9" w:rsidP="005933E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DF2">
        <w:rPr>
          <w:rFonts w:ascii="Times New Roman" w:hAnsi="Times New Roman" w:cs="Times New Roman"/>
          <w:color w:val="000000" w:themeColor="text1"/>
          <w:sz w:val="24"/>
          <w:szCs w:val="24"/>
        </w:rPr>
        <w:t>Realistická řešení agend energetiky obchodování s emisemi a oběhového hospodářství, aby pomohla ocelářskému průmyslu k prosperitě (pravidla podpory projektů v oblasti technologií, výzkumu, inovací a obnovitelných energií, včetně revize systému obchodování s emisemi, povolenky přidělovat v úrovni potřebné pro udržení životaschopnosti ocelářství).</w:t>
      </w:r>
    </w:p>
    <w:p w:rsidR="005933E9" w:rsidRPr="006F2DF2" w:rsidRDefault="005933E9" w:rsidP="005933E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DF2">
        <w:rPr>
          <w:rFonts w:ascii="Times New Roman" w:hAnsi="Times New Roman" w:cs="Times New Roman"/>
          <w:color w:val="000000" w:themeColor="text1"/>
          <w:sz w:val="24"/>
          <w:szCs w:val="24"/>
        </w:rPr>
        <w:t>Angažovanost ve prospěch investic do pracovních sil, dovedností, neboť konkurenceschopné ocelářství vyžaduje kvalifikované, řádně vyškolené pracovníky a k tomu využít</w:t>
      </w:r>
    </w:p>
    <w:p w:rsidR="005933E9" w:rsidRPr="006F2DF2" w:rsidRDefault="005933E9" w:rsidP="005933E9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DF2">
        <w:rPr>
          <w:rFonts w:ascii="Times New Roman" w:hAnsi="Times New Roman" w:cs="Times New Roman"/>
          <w:color w:val="000000" w:themeColor="text1"/>
          <w:sz w:val="24"/>
          <w:szCs w:val="24"/>
        </w:rPr>
        <w:t>Evropského fondu pro přizpůsobení se globalizaci,</w:t>
      </w:r>
    </w:p>
    <w:p w:rsidR="005933E9" w:rsidRPr="006F2DF2" w:rsidRDefault="005933E9" w:rsidP="005933E9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DF2">
        <w:rPr>
          <w:rFonts w:ascii="Times New Roman" w:hAnsi="Times New Roman" w:cs="Times New Roman"/>
          <w:color w:val="000000" w:themeColor="text1"/>
          <w:sz w:val="24"/>
          <w:szCs w:val="24"/>
        </w:rPr>
        <w:t>Evropský sociální fond,</w:t>
      </w:r>
    </w:p>
    <w:p w:rsidR="005933E9" w:rsidRPr="006F2DF2" w:rsidRDefault="005933E9" w:rsidP="005933E9">
      <w:pPr>
        <w:spacing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jejichž prostřednictvím lze zmírnit negativní sociální dopady vyplývající z nezbytných </w:t>
      </w:r>
      <w:r w:rsidR="00C07D84" w:rsidRPr="006F2DF2">
        <w:rPr>
          <w:rFonts w:ascii="Times New Roman" w:hAnsi="Times New Roman" w:cs="Times New Roman"/>
          <w:color w:val="000000" w:themeColor="text1"/>
          <w:sz w:val="24"/>
          <w:szCs w:val="24"/>
        </w:rPr>
        <w:t>relokací</w:t>
      </w:r>
      <w:r w:rsidRPr="006F2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nadbytečných kapacit.</w:t>
      </w:r>
    </w:p>
    <w:p w:rsidR="005933E9" w:rsidRPr="006F2DF2" w:rsidRDefault="005933E9" w:rsidP="006F2DF2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DF2">
        <w:rPr>
          <w:rFonts w:ascii="Times New Roman" w:hAnsi="Times New Roman" w:cs="Times New Roman"/>
          <w:color w:val="000000" w:themeColor="text1"/>
          <w:sz w:val="24"/>
          <w:szCs w:val="24"/>
        </w:rPr>
        <w:t>Je zřejmé, že realizace těchto agend bude vyžadovat účinná jednání OECD, WTO a řadu mezinárodních akcí s hlavními partnery EU (Čína, Japonsko, Indie, Turecko, Rusko, Spojené státy).</w:t>
      </w:r>
    </w:p>
    <w:p w:rsidR="005933E9" w:rsidRPr="006F2DF2" w:rsidRDefault="005933E9" w:rsidP="006F2DF2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DF2">
        <w:rPr>
          <w:rFonts w:ascii="Times New Roman" w:hAnsi="Times New Roman" w:cs="Times New Roman"/>
          <w:color w:val="000000" w:themeColor="text1"/>
          <w:sz w:val="24"/>
          <w:szCs w:val="24"/>
        </w:rPr>
        <w:t>Považujeme za potřebné, aby dokument EU „Steel Action Plan“ byl dále propracováván do realizační podoby jak orgány EU, tak na úrovni vlád jednotlivých zemí. Přičemž považujeme za účelné</w:t>
      </w:r>
    </w:p>
    <w:p w:rsidR="005933E9" w:rsidRPr="006F2DF2" w:rsidRDefault="005933E9" w:rsidP="005933E9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DF2">
        <w:rPr>
          <w:rFonts w:ascii="Times New Roman" w:hAnsi="Times New Roman" w:cs="Times New Roman"/>
          <w:color w:val="000000" w:themeColor="text1"/>
          <w:sz w:val="24"/>
          <w:szCs w:val="24"/>
        </w:rPr>
        <w:t>hodnotit rozsah a strukturu asymetrických nákladů, které zatěžují ocelářství a identifikovat reálné možnosti snížení této zátěže,</w:t>
      </w:r>
    </w:p>
    <w:p w:rsidR="005933E9" w:rsidRPr="006F2DF2" w:rsidRDefault="005933E9" w:rsidP="005933E9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DF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snižovat koncové ceny energií a tak přispět k vytváření rovnocenných podmínek, bránit přesunu rentability z průmyslové produkce k nezaslouženým efektům (například „obnovitelné zdroje energií“),</w:t>
      </w:r>
    </w:p>
    <w:p w:rsidR="005933E9" w:rsidRPr="006F2DF2" w:rsidRDefault="005933E9" w:rsidP="005933E9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DF2">
        <w:rPr>
          <w:rFonts w:ascii="Times New Roman" w:hAnsi="Times New Roman" w:cs="Times New Roman"/>
          <w:color w:val="000000" w:themeColor="text1"/>
          <w:sz w:val="24"/>
          <w:szCs w:val="24"/>
        </w:rPr>
        <w:t>usilovat o přijetí realistických cílů, norem, parametrů ekologické legislativy, která bude motivovat k investicím nejlepších dostupných technologií,</w:t>
      </w:r>
    </w:p>
    <w:p w:rsidR="005933E9" w:rsidRPr="006F2DF2" w:rsidRDefault="005933E9" w:rsidP="005933E9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DF2">
        <w:rPr>
          <w:rFonts w:ascii="Times New Roman" w:hAnsi="Times New Roman" w:cs="Times New Roman"/>
          <w:color w:val="000000" w:themeColor="text1"/>
          <w:sz w:val="24"/>
          <w:szCs w:val="24"/>
        </w:rPr>
        <w:t>vytvářet podmínky pro udržitelnou zaměstnanost, provázat řešení sociálně zaměstnaneckých otázek s efektivností a životaschopností ocelářství, konkrétních hutních společností.</w:t>
      </w:r>
      <w:bookmarkStart w:id="0" w:name="_GoBack"/>
      <w:bookmarkEnd w:id="0"/>
    </w:p>
    <w:p w:rsidR="005933E9" w:rsidRPr="006F2DF2" w:rsidRDefault="005933E9" w:rsidP="005933E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33E9" w:rsidRPr="006F2DF2" w:rsidRDefault="00B60446" w:rsidP="005933E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DF2">
        <w:rPr>
          <w:rFonts w:ascii="Times New Roman" w:hAnsi="Times New Roman" w:cs="Times New Roman"/>
          <w:color w:val="000000" w:themeColor="text1"/>
          <w:sz w:val="24"/>
          <w:szCs w:val="24"/>
        </w:rPr>
        <w:t>Z poznatků r. 2015 a z výhledu na období do r. 2020 je zřejmé, že Český ocelářský průmysl může udržet svoji konkurenceschopnost jen v případě</w:t>
      </w:r>
    </w:p>
    <w:p w:rsidR="00B60446" w:rsidRPr="006F2DF2" w:rsidRDefault="00B60446" w:rsidP="00B6044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DF2">
        <w:rPr>
          <w:rFonts w:ascii="Times New Roman" w:hAnsi="Times New Roman" w:cs="Times New Roman"/>
          <w:color w:val="000000" w:themeColor="text1"/>
          <w:sz w:val="24"/>
          <w:szCs w:val="24"/>
        </w:rPr>
        <w:t>společného, razantního postupu EU a člen</w:t>
      </w:r>
      <w:r w:rsidR="001F79E2" w:rsidRPr="006F2DF2">
        <w:rPr>
          <w:rFonts w:ascii="Times New Roman" w:hAnsi="Times New Roman" w:cs="Times New Roman"/>
          <w:color w:val="000000" w:themeColor="text1"/>
          <w:sz w:val="24"/>
          <w:szCs w:val="24"/>
        </w:rPr>
        <w:t>ských zemí proti „unfair</w:t>
      </w:r>
      <w:r w:rsidR="00141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trade“,</w:t>
      </w:r>
      <w:r w:rsidR="001F79E2" w:rsidRPr="006F2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který by prudce vzrostl p</w:t>
      </w:r>
      <w:r w:rsidR="006F2DF2">
        <w:rPr>
          <w:rFonts w:ascii="Times New Roman" w:hAnsi="Times New Roman" w:cs="Times New Roman"/>
          <w:color w:val="000000" w:themeColor="text1"/>
          <w:sz w:val="24"/>
          <w:szCs w:val="24"/>
        </w:rPr>
        <w:t>o přiznání tržního statutu Číně,</w:t>
      </w:r>
    </w:p>
    <w:p w:rsidR="00B60446" w:rsidRPr="006F2DF2" w:rsidRDefault="00B60446" w:rsidP="00B6044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investiční strategie, která realizací projektů výzkumu, vývoje, inovací přinese do výrobkového portfolia (v kontextu požadavků trhu) sortiment s vysokou kvalitou, finalizací a rostoucí přidanou hodnotou. </w:t>
      </w:r>
    </w:p>
    <w:p w:rsidR="00B60446" w:rsidRDefault="00B60446" w:rsidP="00B604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446" w:rsidRDefault="00B60446" w:rsidP="00B604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Odvětvový svaz hutnictví železa bude organizovat řadu akcí na řešení problémů v oblastech</w:t>
      </w:r>
    </w:p>
    <w:p w:rsidR="00B60446" w:rsidRDefault="00B60446" w:rsidP="00B6044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ekologie</w:t>
      </w:r>
    </w:p>
    <w:p w:rsidR="00B60446" w:rsidRDefault="00B60446" w:rsidP="00B6044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energetiky</w:t>
      </w:r>
    </w:p>
    <w:p w:rsidR="00B60446" w:rsidRDefault="00B60446" w:rsidP="00B6044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obchodních vztahů</w:t>
      </w:r>
    </w:p>
    <w:p w:rsidR="00B60446" w:rsidRDefault="00B60446" w:rsidP="00B6044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sociálně zaměstnaneckých souvislostí</w:t>
      </w:r>
    </w:p>
    <w:p w:rsidR="00B60446" w:rsidRDefault="00B60446" w:rsidP="00B604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záměrem vytvářet rovnocenné podmínky k dosahování konkurenceschopnosti, efektivnosti z vlastních programů hospodárnosti, růstu produktivity a obhájení pozice na trhu hutních materiálů.</w:t>
      </w:r>
    </w:p>
    <w:p w:rsidR="00B60446" w:rsidRDefault="00B60446" w:rsidP="00B604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446" w:rsidRDefault="00B60446" w:rsidP="00141A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Věříme ve spolupráci s rezorty vlády ČR, s HK ČR, SP ČR a rovněž v sociálním dialogu</w:t>
      </w:r>
    </w:p>
    <w:p w:rsidR="00B60446" w:rsidRPr="00B60446" w:rsidRDefault="00B60446" w:rsidP="00141A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8A1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KOVO, </w:t>
      </w:r>
      <w:proofErr w:type="gramStart"/>
      <w:r>
        <w:rPr>
          <w:rFonts w:ascii="Times New Roman" w:hAnsi="Times New Roman" w:cs="Times New Roman"/>
          <w:sz w:val="24"/>
          <w:szCs w:val="24"/>
        </w:rPr>
        <w:t>která</w:t>
      </w:r>
      <w:proofErr w:type="gramEnd"/>
      <w:r w:rsidR="00C07D84">
        <w:rPr>
          <w:rFonts w:ascii="Times New Roman" w:hAnsi="Times New Roman" w:cs="Times New Roman"/>
          <w:sz w:val="24"/>
          <w:szCs w:val="24"/>
        </w:rPr>
        <w:t xml:space="preserve"> </w:t>
      </w:r>
      <w:r w:rsidR="00141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 konkretizována v agendách, jak je uvádí dokument „Konkurenceschopnost českého ocelářského průmyslu“, semináře 25. 5. 2016.</w:t>
      </w:r>
    </w:p>
    <w:p w:rsidR="00656155" w:rsidRDefault="00656155">
      <w:pPr>
        <w:rPr>
          <w:rFonts w:ascii="Times New Roman" w:hAnsi="Times New Roman" w:cs="Times New Roman"/>
          <w:sz w:val="24"/>
          <w:szCs w:val="24"/>
        </w:rPr>
      </w:pPr>
    </w:p>
    <w:p w:rsidR="00656155" w:rsidRDefault="00656155">
      <w:pPr>
        <w:rPr>
          <w:rFonts w:ascii="Times New Roman" w:hAnsi="Times New Roman" w:cs="Times New Roman"/>
          <w:sz w:val="24"/>
          <w:szCs w:val="24"/>
        </w:rPr>
      </w:pPr>
    </w:p>
    <w:p w:rsidR="00B60446" w:rsidRPr="00656155" w:rsidRDefault="00B60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Praha </w:t>
      </w:r>
      <w:r w:rsidR="006F2DF2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 5. 2016</w:t>
      </w:r>
    </w:p>
    <w:sectPr w:rsidR="00B60446" w:rsidRPr="00656155" w:rsidSect="005F2620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CF2" w:rsidRDefault="004E5CF2" w:rsidP="005F2620">
      <w:pPr>
        <w:spacing w:after="0" w:line="240" w:lineRule="auto"/>
      </w:pPr>
      <w:r>
        <w:separator/>
      </w:r>
    </w:p>
  </w:endnote>
  <w:endnote w:type="continuationSeparator" w:id="0">
    <w:p w:rsidR="004E5CF2" w:rsidRDefault="004E5CF2" w:rsidP="005F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1231049"/>
      <w:docPartObj>
        <w:docPartGallery w:val="Page Numbers (Bottom of Page)"/>
        <w:docPartUnique/>
      </w:docPartObj>
    </w:sdtPr>
    <w:sdtContent>
      <w:p w:rsidR="005F2620" w:rsidRDefault="005F262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F2620" w:rsidRDefault="005F262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CF2" w:rsidRDefault="004E5CF2" w:rsidP="005F2620">
      <w:pPr>
        <w:spacing w:after="0" w:line="240" w:lineRule="auto"/>
      </w:pPr>
      <w:r>
        <w:separator/>
      </w:r>
    </w:p>
  </w:footnote>
  <w:footnote w:type="continuationSeparator" w:id="0">
    <w:p w:rsidR="004E5CF2" w:rsidRDefault="004E5CF2" w:rsidP="005F2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14AC"/>
    <w:multiLevelType w:val="hybridMultilevel"/>
    <w:tmpl w:val="975C4D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46473"/>
    <w:multiLevelType w:val="hybridMultilevel"/>
    <w:tmpl w:val="DB0875F4"/>
    <w:lvl w:ilvl="0" w:tplc="B5BEB41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A77DB6"/>
    <w:multiLevelType w:val="hybridMultilevel"/>
    <w:tmpl w:val="F88EE14C"/>
    <w:lvl w:ilvl="0" w:tplc="B5BEB41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F24489"/>
    <w:multiLevelType w:val="hybridMultilevel"/>
    <w:tmpl w:val="E03C1496"/>
    <w:lvl w:ilvl="0" w:tplc="B5BEB4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E9"/>
    <w:rsid w:val="00026C75"/>
    <w:rsid w:val="00141AD0"/>
    <w:rsid w:val="001F79E2"/>
    <w:rsid w:val="00260623"/>
    <w:rsid w:val="002A7789"/>
    <w:rsid w:val="004E5CF2"/>
    <w:rsid w:val="005933E9"/>
    <w:rsid w:val="005F2620"/>
    <w:rsid w:val="00656155"/>
    <w:rsid w:val="006F2DF2"/>
    <w:rsid w:val="008955CC"/>
    <w:rsid w:val="008A1F47"/>
    <w:rsid w:val="00905B46"/>
    <w:rsid w:val="009250E9"/>
    <w:rsid w:val="00987B66"/>
    <w:rsid w:val="00AE1B4B"/>
    <w:rsid w:val="00B60446"/>
    <w:rsid w:val="00C0409E"/>
    <w:rsid w:val="00C07D84"/>
    <w:rsid w:val="00D30503"/>
    <w:rsid w:val="00F8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0E9"/>
    <w:pPr>
      <w:spacing w:after="6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61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5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F2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2620"/>
  </w:style>
  <w:style w:type="paragraph" w:styleId="Zpat">
    <w:name w:val="footer"/>
    <w:basedOn w:val="Normln"/>
    <w:link w:val="ZpatChar"/>
    <w:uiPriority w:val="99"/>
    <w:unhideWhenUsed/>
    <w:rsid w:val="005F2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2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0E9"/>
    <w:pPr>
      <w:spacing w:after="6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61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5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F2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2620"/>
  </w:style>
  <w:style w:type="paragraph" w:styleId="Zpat">
    <w:name w:val="footer"/>
    <w:basedOn w:val="Normln"/>
    <w:link w:val="ZpatChar"/>
    <w:uiPriority w:val="99"/>
    <w:unhideWhenUsed/>
    <w:rsid w:val="005F2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2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B9162-9023-42BA-88F6-EA94EB92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749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Hermanova</dc:creator>
  <cp:lastModifiedBy>Jitka Hermanova</cp:lastModifiedBy>
  <cp:revision>4</cp:revision>
  <cp:lastPrinted>2016-05-17T08:01:00Z</cp:lastPrinted>
  <dcterms:created xsi:type="dcterms:W3CDTF">2016-05-17T08:00:00Z</dcterms:created>
  <dcterms:modified xsi:type="dcterms:W3CDTF">2016-05-17T08:02:00Z</dcterms:modified>
</cp:coreProperties>
</file>