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2650FB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2650FB">
        <w:rPr>
          <w:rFonts w:asciiTheme="minorHAnsi" w:hAnsiTheme="minorHAnsi" w:cstheme="minorHAnsi"/>
          <w:sz w:val="22"/>
          <w:szCs w:val="22"/>
        </w:rPr>
        <w:t xml:space="preserve">ministra zahraničních věcí T. Petříčka do Bulharska </w:t>
      </w:r>
    </w:p>
    <w:p w:rsidR="003213D5" w:rsidRPr="003213D5" w:rsidRDefault="000966B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2650FB">
        <w:rPr>
          <w:rFonts w:asciiTheme="minorHAnsi" w:hAnsiTheme="minorHAnsi" w:cstheme="minorHAnsi"/>
          <w:sz w:val="22"/>
          <w:szCs w:val="22"/>
        </w:rPr>
        <w:t>5. 11</w:t>
      </w:r>
      <w:r>
        <w:rPr>
          <w:rFonts w:asciiTheme="minorHAnsi" w:hAnsiTheme="minorHAnsi" w:cstheme="minorHAnsi"/>
          <w:sz w:val="22"/>
          <w:szCs w:val="22"/>
        </w:rPr>
        <w:t>. 201</w:t>
      </w:r>
      <w:r w:rsidR="00DE5159">
        <w:rPr>
          <w:rFonts w:asciiTheme="minorHAnsi" w:hAnsiTheme="minorHAnsi" w:cstheme="minorHAnsi"/>
          <w:sz w:val="22"/>
          <w:szCs w:val="22"/>
        </w:rPr>
        <w:t>9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2650FB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2650FB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</w:p>
    <w:p w:rsidR="002650FB" w:rsidRDefault="002650FB" w:rsidP="002650FB">
      <w:pPr>
        <w:pStyle w:val="Zkladntext"/>
        <w:ind w:left="720"/>
        <w:rPr>
          <w:rFonts w:asciiTheme="minorHAnsi" w:hAnsiTheme="minorHAnsi" w:cstheme="minorHAnsi"/>
          <w:sz w:val="20"/>
          <w:szCs w:val="18"/>
        </w:rPr>
      </w:pPr>
      <w:hyperlink r:id="rId8" w:history="1">
        <w:r w:rsidRPr="00603CCD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https://registrace.spcr.cz/mise?eventId=757&amp;controller=event&amp;task=individualRegister</w:t>
        </w:r>
      </w:hyperlink>
    </w:p>
    <w:p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7903E2">
        <w:rPr>
          <w:rFonts w:asciiTheme="minorHAnsi" w:hAnsiTheme="minorHAnsi" w:cstheme="minorHAnsi"/>
          <w:b/>
          <w:bCs/>
          <w:sz w:val="20"/>
          <w:szCs w:val="18"/>
          <w:lang w:bidi="en-US"/>
        </w:rPr>
        <w:t>1</w:t>
      </w:r>
      <w:r w:rsidR="002650FB">
        <w:rPr>
          <w:rFonts w:asciiTheme="minorHAnsi" w:hAnsiTheme="minorHAnsi" w:cstheme="minorHAnsi"/>
          <w:b/>
          <w:bCs/>
          <w:sz w:val="20"/>
          <w:szCs w:val="18"/>
          <w:lang w:bidi="en-US"/>
        </w:rPr>
        <w:t>0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. </w:t>
      </w:r>
      <w:r w:rsidR="002650FB">
        <w:rPr>
          <w:rFonts w:asciiTheme="minorHAnsi" w:hAnsiTheme="minorHAnsi" w:cstheme="minorHAnsi"/>
          <w:b/>
          <w:bCs/>
          <w:sz w:val="20"/>
          <w:szCs w:val="18"/>
          <w:lang w:bidi="en-US"/>
        </w:rPr>
        <w:t>října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201</w:t>
      </w:r>
      <w:r w:rsidR="00DE5159">
        <w:rPr>
          <w:rFonts w:asciiTheme="minorHAnsi" w:hAnsiTheme="minorHAnsi" w:cstheme="minorHAnsi"/>
          <w:b/>
          <w:bCs/>
          <w:sz w:val="20"/>
          <w:szCs w:val="18"/>
          <w:lang w:bidi="en-US"/>
        </w:rPr>
        <w:t>9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2650FB" w:rsidRPr="002650FB">
        <w:rPr>
          <w:rFonts w:asciiTheme="minorHAnsi" w:hAnsiTheme="minorHAnsi" w:cstheme="minorHAnsi"/>
          <w:b/>
          <w:sz w:val="20"/>
          <w:szCs w:val="18"/>
        </w:rPr>
        <w:t>162</w:t>
      </w:r>
      <w:r w:rsidR="007903E2" w:rsidRPr="007903E2">
        <w:rPr>
          <w:rFonts w:asciiTheme="minorHAnsi" w:hAnsiTheme="minorHAnsi" w:cstheme="minorHAnsi"/>
          <w:b/>
          <w:sz w:val="20"/>
          <w:szCs w:val="18"/>
        </w:rPr>
        <w:t>00</w:t>
      </w:r>
      <w:r w:rsidR="00DE5159" w:rsidRPr="007903E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171698">
        <w:rPr>
          <w:rFonts w:asciiTheme="minorHAnsi" w:hAnsiTheme="minorHAnsi" w:cstheme="minorHAnsi"/>
          <w:sz w:val="20"/>
          <w:szCs w:val="18"/>
        </w:rPr>
        <w:t>organizaci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podnikatelské</w:t>
      </w:r>
      <w:r w:rsidR="00171698">
        <w:rPr>
          <w:rFonts w:asciiTheme="minorHAnsi" w:hAnsiTheme="minorHAnsi" w:cstheme="minorHAnsi"/>
          <w:sz w:val="20"/>
          <w:szCs w:val="18"/>
          <w:lang w:bidi="en-US"/>
        </w:rPr>
        <w:t>ho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fór</w:t>
      </w:r>
      <w:r w:rsidR="00171698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>, místní přepravu autobusem, občerstvení, účast na společenské akci, zápis společnosti v oficiálním katalogu mise a náklady spojené s přípravou cesty a službami pracovníků SP ČR během cesty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71698">
        <w:rPr>
          <w:rFonts w:asciiTheme="minorHAnsi" w:hAnsiTheme="minorHAnsi" w:cstheme="minorHAnsi"/>
          <w:sz w:val="20"/>
          <w:szCs w:val="18"/>
        </w:rPr>
        <w:t>24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171698">
        <w:rPr>
          <w:rFonts w:asciiTheme="minorHAnsi" w:hAnsiTheme="minorHAnsi" w:cstheme="minorHAnsi"/>
          <w:sz w:val="20"/>
          <w:szCs w:val="18"/>
        </w:rPr>
        <w:t>října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DE5159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171698">
        <w:rPr>
          <w:rFonts w:asciiTheme="minorHAnsi" w:hAnsiTheme="minorHAnsi" w:cstheme="minorHAnsi"/>
          <w:sz w:val="20"/>
          <w:szCs w:val="18"/>
        </w:rPr>
        <w:t>25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171698">
        <w:rPr>
          <w:rFonts w:asciiTheme="minorHAnsi" w:hAnsiTheme="minorHAnsi" w:cstheme="minorHAnsi"/>
          <w:sz w:val="20"/>
          <w:szCs w:val="18"/>
        </w:rPr>
        <w:t>října</w:t>
      </w:r>
      <w:r w:rsidR="00DE5159">
        <w:rPr>
          <w:rFonts w:asciiTheme="minorHAnsi" w:hAnsiTheme="minorHAnsi" w:cstheme="minorHAnsi"/>
          <w:sz w:val="20"/>
          <w:szCs w:val="18"/>
        </w:rPr>
        <w:t xml:space="preserve"> </w:t>
      </w:r>
      <w:r w:rsidR="00A623E7">
        <w:rPr>
          <w:rFonts w:asciiTheme="minorHAnsi" w:hAnsiTheme="minorHAnsi" w:cstheme="minorHAnsi"/>
          <w:sz w:val="20"/>
          <w:szCs w:val="18"/>
        </w:rPr>
        <w:t>201</w:t>
      </w:r>
      <w:r w:rsidR="00DE5159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59" w:rsidRDefault="00DE5159">
      <w:pPr>
        <w:spacing w:after="0" w:line="240" w:lineRule="auto"/>
      </w:pPr>
      <w:r>
        <w:separator/>
      </w:r>
    </w:p>
  </w:endnote>
  <w:endnote w:type="continuationSeparator" w:id="0">
    <w:p w:rsidR="00DE5159" w:rsidRDefault="00D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2650FB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D4917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2650FB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2650FB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E6D927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59" w:rsidRDefault="00DE5159">
      <w:pPr>
        <w:spacing w:after="0" w:line="240" w:lineRule="auto"/>
      </w:pPr>
      <w:r>
        <w:separator/>
      </w:r>
    </w:p>
  </w:footnote>
  <w:footnote w:type="continuationSeparator" w:id="0">
    <w:p w:rsidR="00DE5159" w:rsidRDefault="00DE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DE5159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E5159" w:rsidRDefault="00DE5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1698"/>
    <w:rsid w:val="00173B38"/>
    <w:rsid w:val="00193022"/>
    <w:rsid w:val="00195A45"/>
    <w:rsid w:val="001B4B50"/>
    <w:rsid w:val="001C031C"/>
    <w:rsid w:val="001C5C2C"/>
    <w:rsid w:val="001F66A6"/>
    <w:rsid w:val="00204C38"/>
    <w:rsid w:val="00222D87"/>
    <w:rsid w:val="002337A5"/>
    <w:rsid w:val="002650FB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036E"/>
    <w:rsid w:val="007903E2"/>
    <w:rsid w:val="0079220A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5FD8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706ED"/>
  <w15:docId w15:val="{688A2CF0-91BD-43F3-B375-5DFE0BE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mise?eventId=757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Hodač Tomáš</cp:lastModifiedBy>
  <cp:revision>3</cp:revision>
  <cp:lastPrinted>2018-10-15T08:52:00Z</cp:lastPrinted>
  <dcterms:created xsi:type="dcterms:W3CDTF">2019-09-24T14:01:00Z</dcterms:created>
  <dcterms:modified xsi:type="dcterms:W3CDTF">2019-09-24T14:17:00Z</dcterms:modified>
</cp:coreProperties>
</file>