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06E8" w14:textId="77777777" w:rsidR="0066576E" w:rsidRPr="00754EF5" w:rsidRDefault="0066576E" w:rsidP="00F9611E">
      <w:pPr>
        <w:jc w:val="both"/>
        <w:rPr>
          <w:rFonts w:ascii="Calibri" w:eastAsia="Calibri" w:hAnsi="Calibri" w:cs="Calibri"/>
          <w:sz w:val="24"/>
          <w:szCs w:val="24"/>
          <w:u w:val="single"/>
        </w:rPr>
      </w:pPr>
    </w:p>
    <w:p w14:paraId="5964DC01" w14:textId="77777777" w:rsidR="0066576E" w:rsidRDefault="0066576E" w:rsidP="00F9611E">
      <w:pPr>
        <w:jc w:val="both"/>
        <w:rPr>
          <w:rFonts w:ascii="Calibri" w:eastAsia="Calibri" w:hAnsi="Calibri" w:cs="Calibri"/>
          <w:sz w:val="24"/>
          <w:szCs w:val="24"/>
        </w:rPr>
      </w:pPr>
    </w:p>
    <w:tbl>
      <w:tblPr>
        <w:tblStyle w:val="Mkatabulky"/>
        <w:tblW w:w="0" w:type="auto"/>
        <w:tblBorders>
          <w:top w:val="single" w:sz="4" w:space="0" w:color="0093D6"/>
          <w:left w:val="single" w:sz="4" w:space="0" w:color="0093D6"/>
          <w:bottom w:val="single" w:sz="4" w:space="0" w:color="0093D6"/>
          <w:right w:val="single" w:sz="4" w:space="0" w:color="0093D6"/>
          <w:insideH w:val="single" w:sz="4" w:space="0" w:color="0093D6"/>
          <w:insideV w:val="single" w:sz="4" w:space="0" w:color="0093D6"/>
        </w:tblBorders>
        <w:tblLook w:val="04A0" w:firstRow="1" w:lastRow="0" w:firstColumn="1" w:lastColumn="0" w:noHBand="0" w:noVBand="1"/>
      </w:tblPr>
      <w:tblGrid>
        <w:gridCol w:w="2263"/>
        <w:gridCol w:w="7365"/>
      </w:tblGrid>
      <w:tr w:rsidR="0066576E" w14:paraId="415CDB31" w14:textId="77777777" w:rsidTr="0066576E">
        <w:tc>
          <w:tcPr>
            <w:tcW w:w="2263" w:type="dxa"/>
            <w:vAlign w:val="center"/>
          </w:tcPr>
          <w:p w14:paraId="0D58F785" w14:textId="77777777" w:rsidR="0066576E" w:rsidRDefault="0066576E" w:rsidP="00E843A8">
            <w:pPr>
              <w:jc w:val="both"/>
              <w:rPr>
                <w:rFonts w:ascii="Calibri" w:eastAsia="Calibri" w:hAnsi="Calibri" w:cs="Calibri"/>
                <w:sz w:val="24"/>
                <w:szCs w:val="24"/>
              </w:rPr>
            </w:pPr>
            <w:r>
              <w:rPr>
                <w:rFonts w:ascii="Calibri" w:hAnsi="Calibri" w:cs="Calibri"/>
                <w:color w:val="0093D6"/>
              </w:rPr>
              <w:t>NÁZEV MATERIÁLU</w:t>
            </w:r>
          </w:p>
        </w:tc>
        <w:tc>
          <w:tcPr>
            <w:tcW w:w="7365" w:type="dxa"/>
            <w:vAlign w:val="center"/>
          </w:tcPr>
          <w:p w14:paraId="291C6509" w14:textId="049E64CD" w:rsidR="0066576E" w:rsidRPr="004A581A" w:rsidRDefault="00EC6CC9" w:rsidP="00677F81">
            <w:pPr>
              <w:jc w:val="both"/>
              <w:rPr>
                <w:rFonts w:ascii="Calibri" w:eastAsia="Calibri" w:hAnsi="Calibri" w:cs="Calibri"/>
                <w:color w:val="404040" w:themeColor="text1" w:themeTint="BF"/>
                <w:sz w:val="24"/>
                <w:szCs w:val="24"/>
              </w:rPr>
            </w:pPr>
            <w:r w:rsidRPr="004A581A">
              <w:rPr>
                <w:rFonts w:ascii="Calibri" w:eastAsia="Calibri" w:hAnsi="Calibri" w:cs="Calibri"/>
                <w:color w:val="404040" w:themeColor="text1" w:themeTint="BF"/>
                <w:sz w:val="24"/>
                <w:szCs w:val="24"/>
              </w:rPr>
              <w:t>Připomínky Svazu průmyslu a dopravy Č</w:t>
            </w:r>
            <w:r w:rsidR="005E574A" w:rsidRPr="004A581A">
              <w:rPr>
                <w:rFonts w:ascii="Calibri" w:eastAsia="Calibri" w:hAnsi="Calibri" w:cs="Calibri"/>
                <w:color w:val="404040" w:themeColor="text1" w:themeTint="BF"/>
                <w:sz w:val="24"/>
                <w:szCs w:val="24"/>
              </w:rPr>
              <w:t>eské republiky</w:t>
            </w:r>
            <w:r w:rsidRPr="004A581A">
              <w:rPr>
                <w:rFonts w:ascii="Calibri" w:eastAsia="Calibri" w:hAnsi="Calibri" w:cs="Calibri"/>
                <w:color w:val="404040" w:themeColor="text1" w:themeTint="BF"/>
                <w:sz w:val="24"/>
                <w:szCs w:val="24"/>
              </w:rPr>
              <w:t xml:space="preserve"> k</w:t>
            </w:r>
            <w:r w:rsidR="006D72B9">
              <w:rPr>
                <w:rFonts w:ascii="Calibri" w:eastAsia="Calibri" w:hAnsi="Calibri" w:cs="Calibri"/>
                <w:color w:val="404040" w:themeColor="text1" w:themeTint="BF"/>
                <w:sz w:val="24"/>
                <w:szCs w:val="24"/>
              </w:rPr>
              <w:t> </w:t>
            </w:r>
            <w:r w:rsidR="00EE0DC6">
              <w:rPr>
                <w:rFonts w:ascii="Calibri" w:eastAsia="Calibri" w:hAnsi="Calibri" w:cs="Calibri"/>
                <w:color w:val="404040" w:themeColor="text1" w:themeTint="BF"/>
                <w:sz w:val="24"/>
                <w:szCs w:val="24"/>
              </w:rPr>
              <w:t>Návrh</w:t>
            </w:r>
            <w:r w:rsidR="006D72B9">
              <w:rPr>
                <w:rFonts w:ascii="Calibri" w:eastAsia="Calibri" w:hAnsi="Calibri" w:cs="Calibri"/>
                <w:color w:val="404040" w:themeColor="text1" w:themeTint="BF"/>
                <w:sz w:val="24"/>
                <w:szCs w:val="24"/>
              </w:rPr>
              <w:t xml:space="preserve">u </w:t>
            </w:r>
            <w:r w:rsidR="006D72B9" w:rsidRPr="006D72B9">
              <w:rPr>
                <w:rFonts w:ascii="Calibri" w:eastAsia="Calibri" w:hAnsi="Calibri" w:cs="Calibri"/>
                <w:color w:val="404040" w:themeColor="text1" w:themeTint="BF"/>
                <w:sz w:val="24"/>
                <w:szCs w:val="24"/>
              </w:rPr>
              <w:t>zákona, kterým se mění zákon č. 256/2013 Sb., o katastru nemovitostí (katastrální zákon), ve znění pozdějších předpisů, a zákon č. 634/2004 Sb., o správních poplatcích, ve znění pozdějších předpisů. </w:t>
            </w:r>
          </w:p>
        </w:tc>
      </w:tr>
      <w:tr w:rsidR="0066576E" w14:paraId="79CE4804" w14:textId="77777777" w:rsidTr="0066576E">
        <w:tc>
          <w:tcPr>
            <w:tcW w:w="2263" w:type="dxa"/>
            <w:vAlign w:val="center"/>
          </w:tcPr>
          <w:p w14:paraId="2251C73C" w14:textId="77777777" w:rsidR="0066576E" w:rsidRDefault="0066576E" w:rsidP="00E843A8">
            <w:pPr>
              <w:jc w:val="both"/>
              <w:rPr>
                <w:rFonts w:ascii="Calibri" w:eastAsia="Calibri" w:hAnsi="Calibri" w:cs="Calibri"/>
                <w:sz w:val="24"/>
                <w:szCs w:val="24"/>
              </w:rPr>
            </w:pPr>
            <w:r>
              <w:rPr>
                <w:rFonts w:ascii="Calibri" w:hAnsi="Calibri" w:cs="Calibri"/>
                <w:color w:val="0093D6"/>
              </w:rPr>
              <w:t>Č. J.</w:t>
            </w:r>
          </w:p>
        </w:tc>
        <w:tc>
          <w:tcPr>
            <w:tcW w:w="7365" w:type="dxa"/>
            <w:vAlign w:val="center"/>
          </w:tcPr>
          <w:p w14:paraId="365519DF" w14:textId="5C20DDD1" w:rsidR="0066576E" w:rsidRPr="004A581A" w:rsidRDefault="00625975" w:rsidP="00E843A8">
            <w:pPr>
              <w:jc w:val="both"/>
              <w:rPr>
                <w:rFonts w:ascii="Calibri" w:eastAsia="Calibri" w:hAnsi="Calibri" w:cs="Calibri"/>
                <w:color w:val="404040" w:themeColor="text1" w:themeTint="BF"/>
                <w:sz w:val="24"/>
                <w:szCs w:val="24"/>
              </w:rPr>
            </w:pPr>
            <w:r>
              <w:rPr>
                <w:rFonts w:ascii="Calibri" w:eastAsia="Calibri" w:hAnsi="Calibri" w:cs="Calibri"/>
                <w:color w:val="404040" w:themeColor="text1" w:themeTint="BF"/>
                <w:sz w:val="24"/>
                <w:szCs w:val="24"/>
              </w:rPr>
              <w:t>123</w:t>
            </w:r>
            <w:r w:rsidR="00EE0DC6">
              <w:rPr>
                <w:rFonts w:ascii="Calibri" w:eastAsia="Calibri" w:hAnsi="Calibri" w:cs="Calibri"/>
                <w:color w:val="404040" w:themeColor="text1" w:themeTint="BF"/>
                <w:sz w:val="24"/>
                <w:szCs w:val="24"/>
              </w:rPr>
              <w:t>/</w:t>
            </w:r>
            <w:r w:rsidR="00EC6CC9" w:rsidRPr="004A581A">
              <w:rPr>
                <w:rFonts w:ascii="Calibri" w:eastAsia="Calibri" w:hAnsi="Calibri" w:cs="Calibri"/>
                <w:color w:val="404040" w:themeColor="text1" w:themeTint="BF"/>
                <w:sz w:val="24"/>
                <w:szCs w:val="24"/>
              </w:rPr>
              <w:t>20</w:t>
            </w:r>
            <w:r w:rsidR="00213362" w:rsidRPr="004A581A">
              <w:rPr>
                <w:rFonts w:ascii="Calibri" w:eastAsia="Calibri" w:hAnsi="Calibri" w:cs="Calibri"/>
                <w:color w:val="404040" w:themeColor="text1" w:themeTint="BF"/>
                <w:sz w:val="24"/>
                <w:szCs w:val="24"/>
              </w:rPr>
              <w:t>2</w:t>
            </w:r>
            <w:r w:rsidR="00EE0DC6">
              <w:rPr>
                <w:rFonts w:ascii="Calibri" w:eastAsia="Calibri" w:hAnsi="Calibri" w:cs="Calibri"/>
                <w:color w:val="404040" w:themeColor="text1" w:themeTint="BF"/>
                <w:sz w:val="24"/>
                <w:szCs w:val="24"/>
              </w:rPr>
              <w:t>5</w:t>
            </w:r>
          </w:p>
        </w:tc>
      </w:tr>
      <w:tr w:rsidR="0066576E" w14:paraId="2322BCAD" w14:textId="77777777" w:rsidTr="0066576E">
        <w:tc>
          <w:tcPr>
            <w:tcW w:w="2263" w:type="dxa"/>
            <w:vAlign w:val="center"/>
          </w:tcPr>
          <w:p w14:paraId="79ADB0A5" w14:textId="77777777" w:rsidR="0066576E" w:rsidRDefault="0066576E" w:rsidP="00E843A8">
            <w:pPr>
              <w:jc w:val="both"/>
              <w:rPr>
                <w:rFonts w:ascii="Calibri" w:eastAsia="Calibri" w:hAnsi="Calibri" w:cs="Calibri"/>
                <w:sz w:val="24"/>
                <w:szCs w:val="24"/>
              </w:rPr>
            </w:pPr>
            <w:r>
              <w:rPr>
                <w:rFonts w:ascii="Calibri" w:hAnsi="Calibri" w:cs="Calibri"/>
                <w:color w:val="0093D6"/>
              </w:rPr>
              <w:t>DATUM ZPRACOVÁNÍ</w:t>
            </w:r>
          </w:p>
        </w:tc>
        <w:tc>
          <w:tcPr>
            <w:tcW w:w="7365" w:type="dxa"/>
            <w:vAlign w:val="center"/>
          </w:tcPr>
          <w:p w14:paraId="175E9910" w14:textId="4DD3AE85" w:rsidR="0066576E" w:rsidRPr="004A581A" w:rsidRDefault="00A1363C" w:rsidP="00677F81">
            <w:pPr>
              <w:jc w:val="both"/>
              <w:rPr>
                <w:rFonts w:ascii="Calibri" w:eastAsia="Calibri" w:hAnsi="Calibri" w:cs="Calibri"/>
                <w:color w:val="404040" w:themeColor="text1" w:themeTint="BF"/>
                <w:sz w:val="24"/>
                <w:szCs w:val="24"/>
              </w:rPr>
            </w:pPr>
            <w:r>
              <w:rPr>
                <w:rFonts w:ascii="Calibri" w:eastAsia="Calibri" w:hAnsi="Calibri" w:cs="Calibri"/>
                <w:color w:val="404040" w:themeColor="text1" w:themeTint="BF"/>
                <w:sz w:val="24"/>
                <w:szCs w:val="24"/>
              </w:rPr>
              <w:t>30</w:t>
            </w:r>
            <w:r w:rsidR="00EE0DC6">
              <w:rPr>
                <w:rFonts w:ascii="Calibri" w:eastAsia="Calibri" w:hAnsi="Calibri" w:cs="Calibri"/>
                <w:color w:val="404040" w:themeColor="text1" w:themeTint="BF"/>
                <w:sz w:val="24"/>
                <w:szCs w:val="24"/>
              </w:rPr>
              <w:t xml:space="preserve">. </w:t>
            </w:r>
            <w:r w:rsidR="00C56EBC">
              <w:rPr>
                <w:rFonts w:ascii="Calibri" w:eastAsia="Calibri" w:hAnsi="Calibri" w:cs="Calibri"/>
                <w:color w:val="404040" w:themeColor="text1" w:themeTint="BF"/>
                <w:sz w:val="24"/>
                <w:szCs w:val="24"/>
              </w:rPr>
              <w:t>10</w:t>
            </w:r>
            <w:r w:rsidR="00EE0DC6">
              <w:rPr>
                <w:rFonts w:ascii="Calibri" w:eastAsia="Calibri" w:hAnsi="Calibri" w:cs="Calibri"/>
                <w:color w:val="404040" w:themeColor="text1" w:themeTint="BF"/>
                <w:sz w:val="24"/>
                <w:szCs w:val="24"/>
              </w:rPr>
              <w:t>. 2025</w:t>
            </w:r>
          </w:p>
        </w:tc>
      </w:tr>
      <w:tr w:rsidR="0066576E" w14:paraId="363E99FA" w14:textId="77777777" w:rsidTr="0066576E">
        <w:tc>
          <w:tcPr>
            <w:tcW w:w="2263" w:type="dxa"/>
            <w:vAlign w:val="center"/>
          </w:tcPr>
          <w:p w14:paraId="06AD05BA" w14:textId="77777777" w:rsidR="0066576E" w:rsidRDefault="0066576E" w:rsidP="00E843A8">
            <w:pPr>
              <w:jc w:val="both"/>
              <w:rPr>
                <w:rFonts w:ascii="Calibri" w:eastAsia="Calibri" w:hAnsi="Calibri" w:cs="Calibri"/>
                <w:sz w:val="24"/>
                <w:szCs w:val="24"/>
              </w:rPr>
            </w:pPr>
            <w:r>
              <w:rPr>
                <w:rFonts w:ascii="Calibri" w:hAnsi="Calibri" w:cs="Calibri"/>
                <w:color w:val="0093D6"/>
              </w:rPr>
              <w:t>KONTAKTNÍ OSOBA</w:t>
            </w:r>
          </w:p>
        </w:tc>
        <w:tc>
          <w:tcPr>
            <w:tcW w:w="7365" w:type="dxa"/>
            <w:vAlign w:val="center"/>
          </w:tcPr>
          <w:p w14:paraId="36C171FC" w14:textId="2DDF6B37" w:rsidR="0066576E" w:rsidRPr="004A581A" w:rsidRDefault="00CF4998" w:rsidP="00E843A8">
            <w:pPr>
              <w:jc w:val="both"/>
              <w:rPr>
                <w:rFonts w:ascii="Calibri" w:eastAsia="Calibri" w:hAnsi="Calibri" w:cs="Calibri"/>
                <w:color w:val="404040" w:themeColor="text1" w:themeTint="BF"/>
                <w:sz w:val="24"/>
                <w:szCs w:val="24"/>
              </w:rPr>
            </w:pPr>
            <w:r>
              <w:rPr>
                <w:rFonts w:ascii="Calibri" w:eastAsia="Calibri" w:hAnsi="Calibri" w:cs="Calibri"/>
                <w:color w:val="404040" w:themeColor="text1" w:themeTint="BF"/>
                <w:sz w:val="24"/>
                <w:szCs w:val="24"/>
              </w:rPr>
              <w:t>Dagmar Endrlová</w:t>
            </w:r>
          </w:p>
        </w:tc>
      </w:tr>
      <w:tr w:rsidR="0066576E" w14:paraId="0110BA17" w14:textId="77777777" w:rsidTr="0066576E">
        <w:tc>
          <w:tcPr>
            <w:tcW w:w="2263" w:type="dxa"/>
            <w:vAlign w:val="center"/>
          </w:tcPr>
          <w:p w14:paraId="3A5300B6" w14:textId="77777777" w:rsidR="0066576E" w:rsidRDefault="0066576E" w:rsidP="00E843A8">
            <w:pPr>
              <w:jc w:val="both"/>
              <w:rPr>
                <w:rFonts w:ascii="Calibri" w:eastAsia="Calibri" w:hAnsi="Calibri" w:cs="Calibri"/>
                <w:sz w:val="24"/>
                <w:szCs w:val="24"/>
              </w:rPr>
            </w:pPr>
            <w:r w:rsidRPr="00C8799F">
              <w:rPr>
                <w:rFonts w:ascii="Calibri" w:hAnsi="Calibri" w:cs="Calibri"/>
                <w:color w:val="0093D6"/>
              </w:rPr>
              <w:t>E-</w:t>
            </w:r>
            <w:r>
              <w:rPr>
                <w:rFonts w:ascii="Calibri" w:hAnsi="Calibri" w:cs="Calibri"/>
                <w:color w:val="0093D6"/>
              </w:rPr>
              <w:t>MAIL</w:t>
            </w:r>
          </w:p>
        </w:tc>
        <w:tc>
          <w:tcPr>
            <w:tcW w:w="7365" w:type="dxa"/>
            <w:vAlign w:val="center"/>
          </w:tcPr>
          <w:p w14:paraId="1D4F2A26" w14:textId="4D3AF182" w:rsidR="0066576E" w:rsidRPr="004A581A" w:rsidRDefault="001C5B6B" w:rsidP="00E843A8">
            <w:pPr>
              <w:jc w:val="both"/>
              <w:rPr>
                <w:rFonts w:ascii="Calibri" w:eastAsia="Calibri" w:hAnsi="Calibri" w:cs="Calibri"/>
                <w:color w:val="404040" w:themeColor="text1" w:themeTint="BF"/>
                <w:sz w:val="24"/>
                <w:szCs w:val="24"/>
              </w:rPr>
            </w:pPr>
            <w:r>
              <w:rPr>
                <w:rFonts w:ascii="Calibri" w:eastAsia="Calibri" w:hAnsi="Calibri" w:cs="Calibri"/>
                <w:color w:val="404040" w:themeColor="text1" w:themeTint="BF"/>
                <w:sz w:val="24"/>
                <w:szCs w:val="24"/>
              </w:rPr>
              <w:t>dendrlova</w:t>
            </w:r>
            <w:r w:rsidR="00AD6F96">
              <w:rPr>
                <w:rFonts w:ascii="Calibri" w:eastAsia="Calibri" w:hAnsi="Calibri" w:cs="Calibri"/>
                <w:color w:val="404040" w:themeColor="text1" w:themeTint="BF"/>
                <w:sz w:val="24"/>
                <w:szCs w:val="24"/>
              </w:rPr>
              <w:t>@s</w:t>
            </w:r>
            <w:r>
              <w:rPr>
                <w:rFonts w:ascii="Calibri" w:eastAsia="Calibri" w:hAnsi="Calibri" w:cs="Calibri"/>
                <w:color w:val="404040" w:themeColor="text1" w:themeTint="BF"/>
                <w:sz w:val="24"/>
                <w:szCs w:val="24"/>
              </w:rPr>
              <w:t>pcr.cz</w:t>
            </w:r>
          </w:p>
        </w:tc>
      </w:tr>
    </w:tbl>
    <w:p w14:paraId="7B1DBF41" w14:textId="77777777" w:rsidR="009A475D" w:rsidRDefault="009A475D" w:rsidP="009A475D">
      <w:pPr>
        <w:spacing w:after="0" w:line="240" w:lineRule="auto"/>
        <w:jc w:val="both"/>
        <w:rPr>
          <w:lang w:eastAsia="cs-CZ"/>
        </w:rPr>
      </w:pPr>
    </w:p>
    <w:p w14:paraId="59E1F5B4" w14:textId="20353024" w:rsidR="00005ED5" w:rsidRPr="00500FA2" w:rsidRDefault="009A475D" w:rsidP="00500FA2">
      <w:pPr>
        <w:spacing w:after="0" w:line="240" w:lineRule="auto"/>
        <w:jc w:val="both"/>
        <w:rPr>
          <w:rFonts w:eastAsia="Times New Roman" w:cs="Arial"/>
          <w:caps/>
          <w:color w:val="0093D6"/>
          <w:lang w:eastAsia="cs-CZ"/>
        </w:rPr>
      </w:pPr>
      <w:r w:rsidRPr="004A581A">
        <w:rPr>
          <w:color w:val="404040" w:themeColor="text1" w:themeTint="BF"/>
          <w:lang w:eastAsia="cs-CZ"/>
        </w:rPr>
        <w:t>Svaz průmyslu a dopravy ČR (SP ČR) navrhuje.</w:t>
      </w:r>
    </w:p>
    <w:p w14:paraId="563A1768" w14:textId="109DFFCC" w:rsidR="00C56EBC" w:rsidRDefault="00C56EBC" w:rsidP="00C56EBC">
      <w:pPr>
        <w:pStyle w:val="Odstavecseseznamem"/>
        <w:spacing w:after="0"/>
        <w:ind w:left="0"/>
        <w:jc w:val="both"/>
        <w:rPr>
          <w:b/>
          <w:color w:val="404040" w:themeColor="text1" w:themeTint="BF"/>
          <w:lang w:eastAsia="cs-CZ"/>
        </w:rPr>
      </w:pPr>
    </w:p>
    <w:p w14:paraId="6D7840AF" w14:textId="2AEAEB54" w:rsidR="00C56EBC" w:rsidRPr="00C56EBC" w:rsidRDefault="00C56EBC" w:rsidP="00C56EBC">
      <w:pPr>
        <w:pStyle w:val="Odstavecseseznamem"/>
        <w:spacing w:after="0"/>
        <w:ind w:left="0"/>
        <w:jc w:val="both"/>
        <w:rPr>
          <w:b/>
          <w:color w:val="404040" w:themeColor="text1" w:themeTint="BF"/>
          <w:lang w:eastAsia="cs-CZ"/>
        </w:rPr>
      </w:pPr>
      <w:r>
        <w:rPr>
          <w:rFonts w:eastAsia="Times New Roman" w:cs="Arial"/>
          <w:caps/>
          <w:color w:val="0093D6"/>
          <w:lang w:eastAsia="cs-CZ"/>
        </w:rPr>
        <w:t>Konkrétní</w:t>
      </w:r>
      <w:r w:rsidRPr="00E656E5">
        <w:rPr>
          <w:rFonts w:eastAsia="Times New Roman" w:cs="Arial"/>
          <w:caps/>
          <w:color w:val="0093D6"/>
          <w:lang w:eastAsia="cs-CZ"/>
        </w:rPr>
        <w:t xml:space="preserve"> Připomínky</w:t>
      </w:r>
    </w:p>
    <w:p w14:paraId="7FEFBC89" w14:textId="77777777" w:rsidR="00C56EBC" w:rsidRDefault="00C56EBC" w:rsidP="00C56EBC">
      <w:pPr>
        <w:pStyle w:val="Odstavecseseznamem"/>
        <w:spacing w:after="0"/>
        <w:ind w:left="0"/>
        <w:jc w:val="both"/>
        <w:rPr>
          <w:b/>
          <w:color w:val="404040" w:themeColor="text1" w:themeTint="BF"/>
          <w:u w:val="single"/>
          <w:lang w:eastAsia="cs-CZ"/>
        </w:rPr>
      </w:pPr>
    </w:p>
    <w:p w14:paraId="62B82F16" w14:textId="7A595A4A" w:rsidR="005E6892" w:rsidRDefault="005F5317" w:rsidP="00080664">
      <w:pPr>
        <w:pStyle w:val="Odstavecseseznamem"/>
        <w:numPr>
          <w:ilvl w:val="0"/>
          <w:numId w:val="31"/>
        </w:numPr>
        <w:spacing w:after="120"/>
        <w:contextualSpacing w:val="0"/>
        <w:jc w:val="both"/>
        <w:rPr>
          <w:b/>
          <w:color w:val="404040" w:themeColor="text1" w:themeTint="BF"/>
          <w:u w:val="single"/>
          <w:lang w:eastAsia="cs-CZ"/>
        </w:rPr>
      </w:pPr>
      <w:r>
        <w:rPr>
          <w:b/>
          <w:color w:val="404040" w:themeColor="text1" w:themeTint="BF"/>
          <w:u w:val="single"/>
          <w:lang w:eastAsia="cs-CZ"/>
        </w:rPr>
        <w:t>K §</w:t>
      </w:r>
      <w:r w:rsidR="00642535">
        <w:rPr>
          <w:b/>
          <w:color w:val="404040" w:themeColor="text1" w:themeTint="BF"/>
          <w:u w:val="single"/>
          <w:lang w:eastAsia="cs-CZ"/>
        </w:rPr>
        <w:t xml:space="preserve"> 2 písm. m)</w:t>
      </w:r>
    </w:p>
    <w:p w14:paraId="0321C7D7" w14:textId="77777777" w:rsidR="005E6892" w:rsidRDefault="005E6892" w:rsidP="005E6892">
      <w:pPr>
        <w:pStyle w:val="Odstavecseseznamem"/>
        <w:spacing w:after="120"/>
        <w:ind w:left="0"/>
        <w:contextualSpacing w:val="0"/>
        <w:jc w:val="both"/>
        <w:rPr>
          <w:bCs/>
          <w:color w:val="404040" w:themeColor="text1" w:themeTint="BF"/>
          <w:lang w:eastAsia="cs-CZ"/>
        </w:rPr>
      </w:pPr>
      <w:r>
        <w:rPr>
          <w:bCs/>
          <w:color w:val="404040" w:themeColor="text1" w:themeTint="BF"/>
          <w:lang w:eastAsia="cs-CZ"/>
        </w:rPr>
        <w:t xml:space="preserve">Navrhuje se definičně sjednotit termín „drobná stavba“ zde v zákoně č. </w:t>
      </w:r>
      <w:r w:rsidRPr="005F5317">
        <w:rPr>
          <w:bCs/>
          <w:color w:val="404040" w:themeColor="text1" w:themeTint="BF"/>
          <w:lang w:eastAsia="cs-CZ"/>
        </w:rPr>
        <w:t>283/2021</w:t>
      </w:r>
      <w:r>
        <w:rPr>
          <w:bCs/>
          <w:color w:val="404040" w:themeColor="text1" w:themeTint="BF"/>
          <w:lang w:eastAsia="cs-CZ"/>
        </w:rPr>
        <w:t xml:space="preserve"> Sb., stavební zákon.</w:t>
      </w:r>
    </w:p>
    <w:p w14:paraId="41FC3FCC" w14:textId="77777777" w:rsidR="005E6892" w:rsidRDefault="005E6892" w:rsidP="0082231A">
      <w:pPr>
        <w:pStyle w:val="Odstavecseseznamem"/>
        <w:spacing w:after="0"/>
        <w:ind w:left="0"/>
        <w:contextualSpacing w:val="0"/>
        <w:jc w:val="both"/>
        <w:rPr>
          <w:b/>
          <w:color w:val="404040" w:themeColor="text1" w:themeTint="BF"/>
          <w:lang w:eastAsia="cs-CZ"/>
        </w:rPr>
      </w:pPr>
      <w:r w:rsidRPr="00C56EBC">
        <w:rPr>
          <w:b/>
          <w:color w:val="404040" w:themeColor="text1" w:themeTint="BF"/>
          <w:lang w:eastAsia="cs-CZ"/>
        </w:rPr>
        <w:t>Odůvodnění:</w:t>
      </w:r>
    </w:p>
    <w:p w14:paraId="052853E6" w14:textId="77777777" w:rsidR="005E6892" w:rsidRDefault="005E6892" w:rsidP="0082231A">
      <w:pPr>
        <w:pStyle w:val="Odstavecseseznamem"/>
        <w:spacing w:after="0"/>
        <w:ind w:left="0"/>
        <w:jc w:val="both"/>
        <w:rPr>
          <w:bCs/>
          <w:color w:val="404040" w:themeColor="text1" w:themeTint="BF"/>
          <w:lang w:eastAsia="cs-CZ"/>
        </w:rPr>
      </w:pPr>
      <w:r w:rsidRPr="005E6892">
        <w:rPr>
          <w:bCs/>
          <w:color w:val="404040" w:themeColor="text1" w:themeTint="BF"/>
          <w:lang w:eastAsia="cs-CZ"/>
        </w:rPr>
        <w:t xml:space="preserve">Definice pojmu „drobná stavba“ se svými parametry neopodstatněně odchyluje od totožného termínu definovaného zákonem č. 283/2021 Sb., stavební zákon. V důsledku tohoto rozporu dochází mnohdy k problémům při zápisech některých staveb do katastru nemovitostí. Stavební úřad, postupujíc dle úpravy v rámci stavebního zákona, k takové stavbě nevydává žádné listiny (kolaudace, souhlas s užíváním apod.), protože z jeho pohledu se jedná o drobnou stavbu, nicméně z hlediska zákona katastrálního se o drobnou stavbu nejedná a katastrální úřad tyto stavby nemá na základě čeho (kromě geometrického plánu) do evidence katastru nemovitostí zapsat, přestože z jeho pohledu by v katastru měly být.   </w:t>
      </w:r>
    </w:p>
    <w:p w14:paraId="2B92A97A" w14:textId="77777777" w:rsidR="0082231A" w:rsidRDefault="0082231A" w:rsidP="005E6892">
      <w:pPr>
        <w:pStyle w:val="Odstavecseseznamem"/>
        <w:spacing w:after="120"/>
        <w:ind w:left="0"/>
        <w:jc w:val="both"/>
        <w:rPr>
          <w:bCs/>
          <w:color w:val="404040" w:themeColor="text1" w:themeTint="BF"/>
          <w:lang w:eastAsia="cs-CZ"/>
        </w:rPr>
      </w:pPr>
    </w:p>
    <w:p w14:paraId="0AA04BC1" w14:textId="665FB9A6" w:rsidR="005F5317" w:rsidRPr="0082231A" w:rsidRDefault="0082231A" w:rsidP="005E6892">
      <w:pPr>
        <w:pStyle w:val="Odstavecseseznamem"/>
        <w:spacing w:after="120"/>
        <w:ind w:left="0"/>
        <w:contextualSpacing w:val="0"/>
        <w:jc w:val="both"/>
        <w:rPr>
          <w:b/>
          <w:color w:val="404040" w:themeColor="text1" w:themeTint="BF"/>
          <w:lang w:eastAsia="cs-CZ"/>
        </w:rPr>
      </w:pPr>
      <w:r w:rsidRPr="005530EE">
        <w:rPr>
          <w:b/>
          <w:color w:val="404040" w:themeColor="text1" w:themeTint="BF"/>
          <w:lang w:eastAsia="cs-CZ"/>
        </w:rPr>
        <w:t>Tato připomínka je zásadní.</w:t>
      </w:r>
    </w:p>
    <w:p w14:paraId="64EB83F9" w14:textId="4C97DA5C" w:rsidR="00C91D68" w:rsidRDefault="00C91D68" w:rsidP="00080664">
      <w:pPr>
        <w:pStyle w:val="Odstavecseseznamem"/>
        <w:numPr>
          <w:ilvl w:val="0"/>
          <w:numId w:val="31"/>
        </w:numPr>
        <w:spacing w:after="120"/>
        <w:contextualSpacing w:val="0"/>
        <w:jc w:val="both"/>
        <w:rPr>
          <w:b/>
          <w:color w:val="404040" w:themeColor="text1" w:themeTint="BF"/>
          <w:u w:val="single"/>
          <w:lang w:eastAsia="cs-CZ"/>
        </w:rPr>
      </w:pPr>
      <w:r>
        <w:rPr>
          <w:b/>
          <w:color w:val="404040" w:themeColor="text1" w:themeTint="BF"/>
          <w:u w:val="single"/>
          <w:lang w:eastAsia="cs-CZ"/>
        </w:rPr>
        <w:t xml:space="preserve">K § </w:t>
      </w:r>
      <w:r w:rsidR="00B62255">
        <w:rPr>
          <w:b/>
          <w:color w:val="404040" w:themeColor="text1" w:themeTint="BF"/>
          <w:u w:val="single"/>
          <w:lang w:eastAsia="cs-CZ"/>
        </w:rPr>
        <w:t>7 odst. 2</w:t>
      </w:r>
    </w:p>
    <w:p w14:paraId="4D44BB76" w14:textId="33080E57" w:rsidR="00B62255" w:rsidRDefault="007771E8" w:rsidP="00B62255">
      <w:pPr>
        <w:pStyle w:val="Odstavecseseznamem"/>
        <w:spacing w:after="120"/>
        <w:ind w:left="0"/>
        <w:contextualSpacing w:val="0"/>
        <w:jc w:val="both"/>
        <w:rPr>
          <w:bCs/>
          <w:color w:val="404040" w:themeColor="text1" w:themeTint="BF"/>
          <w:lang w:eastAsia="cs-CZ"/>
        </w:rPr>
      </w:pPr>
      <w:r>
        <w:rPr>
          <w:bCs/>
          <w:color w:val="404040" w:themeColor="text1" w:themeTint="BF"/>
          <w:lang w:eastAsia="cs-CZ"/>
        </w:rPr>
        <w:t>Požadujeme upravit následovně:</w:t>
      </w:r>
    </w:p>
    <w:p w14:paraId="0302ADAD" w14:textId="77777777" w:rsidR="00505AFE" w:rsidRPr="003C2138" w:rsidRDefault="00505AFE" w:rsidP="00505AFE">
      <w:pPr>
        <w:suppressAutoHyphens/>
        <w:spacing w:after="0"/>
        <w:jc w:val="both"/>
        <w:rPr>
          <w:rFonts w:ascii="Calibri" w:eastAsia="Calibri" w:hAnsi="Calibri" w:cs="Times New Roman"/>
          <w:bCs/>
          <w:color w:val="404040" w:themeColor="text1" w:themeTint="BF"/>
          <w:kern w:val="2"/>
          <w:lang w:eastAsia="cs-CZ"/>
        </w:rPr>
      </w:pPr>
      <w:r w:rsidRPr="003C2138">
        <w:rPr>
          <w:rFonts w:ascii="Calibri" w:eastAsia="Calibri" w:hAnsi="Calibri" w:cs="Times New Roman"/>
          <w:bCs/>
          <w:color w:val="404040" w:themeColor="text1" w:themeTint="BF"/>
          <w:kern w:val="2"/>
          <w:lang w:eastAsia="cs-CZ"/>
        </w:rPr>
        <w:t xml:space="preserve">Je-li listina v elektronické podobě podepsána elektronickým podpisem, musí být k podepsání použit uznávaný elektronický podpis. Je-li písemnost v elektronické podobě zapečetěna elektronickou pečetí, musí být k pečetění použita uznávaná elektronická pečeť. </w:t>
      </w:r>
      <w:r w:rsidRPr="003C2138">
        <w:rPr>
          <w:rFonts w:ascii="Calibri" w:eastAsia="Calibri" w:hAnsi="Calibri" w:cs="Times New Roman"/>
          <w:bCs/>
          <w:strike/>
          <w:color w:val="404040" w:themeColor="text1" w:themeTint="BF"/>
          <w:kern w:val="2"/>
          <w:lang w:eastAsia="cs-CZ"/>
        </w:rPr>
        <w:t>Je-li písemnost opatřena uznávaným elektronickým podpisem, musí být tento elektronický podpis k okamžiku podání návrhu na zápis platný nebo musí být možné jeho platnost ověřit na základě kvalifikovaného časového razítka platného k okamžiku podání návrhu</w:t>
      </w:r>
      <w:r w:rsidRPr="003C2138">
        <w:rPr>
          <w:rFonts w:ascii="Calibri" w:eastAsia="Calibri" w:hAnsi="Calibri" w:cs="Times New Roman"/>
          <w:bCs/>
          <w:color w:val="404040" w:themeColor="text1" w:themeTint="BF"/>
          <w:kern w:val="2"/>
          <w:lang w:eastAsia="cs-CZ"/>
        </w:rPr>
        <w:t xml:space="preserve"> </w:t>
      </w:r>
      <w:r w:rsidRPr="003C2138">
        <w:rPr>
          <w:rFonts w:ascii="Calibri" w:eastAsia="Calibri" w:hAnsi="Calibri" w:cs="Times New Roman"/>
          <w:b/>
          <w:color w:val="404040" w:themeColor="text1" w:themeTint="BF"/>
          <w:kern w:val="2"/>
          <w:lang w:eastAsia="cs-CZ"/>
        </w:rPr>
        <w:t>Je-li písemnost opatřena jedním nebo více uznávanými elektronickými podpisy, musí obsahovat jedno kvalifikované časové razítko platné k okamžiku podání návrhu</w:t>
      </w:r>
      <w:r w:rsidRPr="003C2138">
        <w:rPr>
          <w:rFonts w:ascii="Calibri" w:eastAsia="Calibri" w:hAnsi="Calibri" w:cs="Times New Roman"/>
          <w:bCs/>
          <w:color w:val="404040" w:themeColor="text1" w:themeTint="BF"/>
          <w:kern w:val="2"/>
          <w:lang w:eastAsia="cs-CZ"/>
        </w:rPr>
        <w:t xml:space="preserve">; totéž platí pro uznávanou elektronickou pečeť. </w:t>
      </w:r>
    </w:p>
    <w:p w14:paraId="5F1DBD5A" w14:textId="77777777" w:rsidR="00951CCF" w:rsidRDefault="00951CCF" w:rsidP="00505AFE">
      <w:pPr>
        <w:suppressAutoHyphens/>
        <w:spacing w:after="0"/>
        <w:jc w:val="both"/>
        <w:rPr>
          <w:rFonts w:ascii="Calibri" w:eastAsia="Calibri" w:hAnsi="Calibri" w:cs="Times New Roman"/>
          <w:bCs/>
          <w:kern w:val="2"/>
          <w:lang w:eastAsia="cs-CZ"/>
        </w:rPr>
      </w:pPr>
    </w:p>
    <w:p w14:paraId="054CFA6F" w14:textId="7ABBEE19" w:rsidR="00951CCF" w:rsidRPr="007D66F9" w:rsidRDefault="00951CCF" w:rsidP="00505AFE">
      <w:pPr>
        <w:suppressAutoHyphens/>
        <w:spacing w:after="0"/>
        <w:jc w:val="both"/>
        <w:rPr>
          <w:rFonts w:ascii="Calibri" w:eastAsia="Calibri" w:hAnsi="Calibri" w:cs="Times New Roman"/>
          <w:b/>
          <w:color w:val="404040" w:themeColor="text1" w:themeTint="BF"/>
          <w:kern w:val="2"/>
          <w:lang w:eastAsia="cs-CZ"/>
        </w:rPr>
      </w:pPr>
      <w:r w:rsidRPr="007D66F9">
        <w:rPr>
          <w:rFonts w:ascii="Calibri" w:eastAsia="Calibri" w:hAnsi="Calibri" w:cs="Times New Roman"/>
          <w:b/>
          <w:color w:val="404040" w:themeColor="text1" w:themeTint="BF"/>
          <w:kern w:val="2"/>
          <w:lang w:eastAsia="cs-CZ"/>
        </w:rPr>
        <w:t>Odůvodnění:</w:t>
      </w:r>
    </w:p>
    <w:p w14:paraId="1C57B16C" w14:textId="5FEC86B3" w:rsidR="00951CCF" w:rsidRDefault="007D66F9" w:rsidP="00505AFE">
      <w:pPr>
        <w:suppressAutoHyphens/>
        <w:spacing w:after="0"/>
        <w:jc w:val="both"/>
        <w:rPr>
          <w:rFonts w:ascii="Calibri" w:eastAsia="Calibri" w:hAnsi="Calibri" w:cs="Times New Roman"/>
          <w:color w:val="404040" w:themeColor="text1" w:themeTint="BF"/>
          <w:kern w:val="2"/>
          <w:lang w:eastAsia="cs-CZ"/>
        </w:rPr>
      </w:pPr>
      <w:r w:rsidRPr="007D66F9">
        <w:rPr>
          <w:rFonts w:ascii="Calibri" w:eastAsia="Calibri" w:hAnsi="Calibri" w:cs="Times New Roman"/>
          <w:color w:val="404040" w:themeColor="text1" w:themeTint="BF"/>
          <w:kern w:val="2"/>
          <w:lang w:eastAsia="cs-CZ"/>
        </w:rPr>
        <w:lastRenderedPageBreak/>
        <w:t>Kvalifikované časové razítko neověřuje platnost uznávaného elektronického podpisu, pouze zaznamenává, kdy byl učiněn projev vůle vyjádřený uznávaným elektronickým podpisem. Navrhuje se, že postačí, že při elektronickém podepisování vkladové listiny (smlouvy) časové razítko připojí i jen jedna podepisující strana (typicky ten poslední podepisující). Platnost uznávaného elektronického podpisu musí být prokazována jiným způsobem.</w:t>
      </w:r>
    </w:p>
    <w:p w14:paraId="3D0D012F" w14:textId="77777777" w:rsidR="005530EE" w:rsidRPr="007D66F9" w:rsidRDefault="005530EE" w:rsidP="00505AFE">
      <w:pPr>
        <w:suppressAutoHyphens/>
        <w:spacing w:after="0"/>
        <w:jc w:val="both"/>
        <w:rPr>
          <w:rFonts w:ascii="Calibri" w:eastAsia="Calibri" w:hAnsi="Calibri" w:cs="Times New Roman"/>
          <w:color w:val="404040" w:themeColor="text1" w:themeTint="BF"/>
          <w:kern w:val="2"/>
          <w:lang w:eastAsia="cs-CZ"/>
        </w:rPr>
      </w:pPr>
    </w:p>
    <w:p w14:paraId="4028645D" w14:textId="6E99454A" w:rsidR="007771E8" w:rsidRPr="005530EE" w:rsidRDefault="005530EE" w:rsidP="00B62255">
      <w:pPr>
        <w:pStyle w:val="Odstavecseseznamem"/>
        <w:spacing w:after="120"/>
        <w:ind w:left="0"/>
        <w:contextualSpacing w:val="0"/>
        <w:jc w:val="both"/>
        <w:rPr>
          <w:b/>
          <w:color w:val="404040" w:themeColor="text1" w:themeTint="BF"/>
          <w:lang w:eastAsia="cs-CZ"/>
        </w:rPr>
      </w:pPr>
      <w:r w:rsidRPr="005530EE">
        <w:rPr>
          <w:b/>
          <w:color w:val="404040" w:themeColor="text1" w:themeTint="BF"/>
          <w:lang w:eastAsia="cs-CZ"/>
        </w:rPr>
        <w:t>Tato připomínka je zásadní.</w:t>
      </w:r>
    </w:p>
    <w:p w14:paraId="7D05F258" w14:textId="6997C81D" w:rsidR="005530EE" w:rsidRDefault="005530EE" w:rsidP="00080664">
      <w:pPr>
        <w:pStyle w:val="Odstavecseseznamem"/>
        <w:numPr>
          <w:ilvl w:val="0"/>
          <w:numId w:val="31"/>
        </w:numPr>
        <w:spacing w:after="120"/>
        <w:contextualSpacing w:val="0"/>
        <w:jc w:val="both"/>
        <w:rPr>
          <w:b/>
          <w:color w:val="404040" w:themeColor="text1" w:themeTint="BF"/>
          <w:u w:val="single"/>
          <w:lang w:eastAsia="cs-CZ"/>
        </w:rPr>
      </w:pPr>
      <w:r>
        <w:rPr>
          <w:b/>
          <w:color w:val="404040" w:themeColor="text1" w:themeTint="BF"/>
          <w:u w:val="single"/>
          <w:lang w:eastAsia="cs-CZ"/>
        </w:rPr>
        <w:t>K § 7</w:t>
      </w:r>
      <w:r w:rsidR="00B53DD7">
        <w:rPr>
          <w:b/>
          <w:color w:val="404040" w:themeColor="text1" w:themeTint="BF"/>
          <w:u w:val="single"/>
          <w:lang w:eastAsia="cs-CZ"/>
        </w:rPr>
        <w:t xml:space="preserve"> odst. 4</w:t>
      </w:r>
    </w:p>
    <w:p w14:paraId="56B6E1DF" w14:textId="666E12D6" w:rsidR="00B53DD7" w:rsidRPr="003C2138" w:rsidRDefault="00F85A8C" w:rsidP="00B53DD7">
      <w:pPr>
        <w:pStyle w:val="Odstavecseseznamem"/>
        <w:spacing w:after="120"/>
        <w:ind w:left="0"/>
        <w:contextualSpacing w:val="0"/>
        <w:jc w:val="both"/>
        <w:rPr>
          <w:b/>
          <w:color w:val="404040" w:themeColor="text1" w:themeTint="BF"/>
          <w:lang w:eastAsia="cs-CZ"/>
        </w:rPr>
      </w:pPr>
      <w:r w:rsidRPr="003C2138">
        <w:rPr>
          <w:b/>
          <w:color w:val="404040" w:themeColor="text1" w:themeTint="BF"/>
          <w:lang w:eastAsia="cs-CZ"/>
        </w:rPr>
        <w:t>Požadujeme upravit následovně:</w:t>
      </w:r>
    </w:p>
    <w:p w14:paraId="377007BA" w14:textId="77777777" w:rsidR="00B648EF" w:rsidRPr="003C2138" w:rsidRDefault="00B648EF" w:rsidP="00B648EF">
      <w:pPr>
        <w:pStyle w:val="Odstavecseseznamem"/>
        <w:spacing w:after="0"/>
        <w:ind w:left="0"/>
        <w:jc w:val="both"/>
        <w:rPr>
          <w:bCs/>
          <w:color w:val="404040" w:themeColor="text1" w:themeTint="BF"/>
          <w:lang w:eastAsia="cs-CZ"/>
        </w:rPr>
      </w:pPr>
      <w:r w:rsidRPr="003C2138">
        <w:rPr>
          <w:bCs/>
          <w:color w:val="404040" w:themeColor="text1" w:themeTint="BF"/>
          <w:lang w:eastAsia="cs-CZ"/>
        </w:rPr>
        <w:t>Týká-li se právo, které má být na základě listiny zapsáno do katastru, jen části pozemku evidovaného v katastru, musí listina obsahovat odkaz na geometrický plán, který část pozemku vymezuje</w:t>
      </w:r>
      <w:r w:rsidRPr="003C2138">
        <w:rPr>
          <w:b/>
          <w:color w:val="404040" w:themeColor="text1" w:themeTint="BF"/>
          <w:lang w:eastAsia="cs-CZ"/>
        </w:rPr>
        <w:t>, nebo musí být s listinou spojen geometrický plán, který část pozemku vymezuje, přičemž v takovém případě se geometrický plán považuje za součást listiny</w:t>
      </w:r>
      <w:r w:rsidRPr="003C2138">
        <w:rPr>
          <w:bCs/>
          <w:color w:val="404040" w:themeColor="text1" w:themeTint="BF"/>
          <w:lang w:eastAsia="cs-CZ"/>
        </w:rPr>
        <w:t>.</w:t>
      </w:r>
    </w:p>
    <w:p w14:paraId="57DBA438" w14:textId="77777777" w:rsidR="0075124D" w:rsidRDefault="0075124D" w:rsidP="00B648EF">
      <w:pPr>
        <w:pStyle w:val="Odstavecseseznamem"/>
        <w:spacing w:after="0"/>
        <w:ind w:left="0"/>
        <w:jc w:val="both"/>
        <w:rPr>
          <w:bCs/>
          <w:lang w:eastAsia="cs-CZ"/>
        </w:rPr>
      </w:pPr>
    </w:p>
    <w:p w14:paraId="1B898417" w14:textId="4C9535C0" w:rsidR="0075124D" w:rsidRPr="00EE02BD" w:rsidRDefault="0075124D" w:rsidP="00B648EF">
      <w:pPr>
        <w:pStyle w:val="Odstavecseseznamem"/>
        <w:spacing w:after="0"/>
        <w:ind w:left="0"/>
        <w:jc w:val="both"/>
        <w:rPr>
          <w:b/>
          <w:color w:val="404040" w:themeColor="text1" w:themeTint="BF"/>
          <w:lang w:eastAsia="cs-CZ"/>
        </w:rPr>
      </w:pPr>
      <w:r w:rsidRPr="00EE02BD">
        <w:rPr>
          <w:b/>
          <w:color w:val="404040" w:themeColor="text1" w:themeTint="BF"/>
          <w:lang w:eastAsia="cs-CZ"/>
        </w:rPr>
        <w:t>Odůvodnění:</w:t>
      </w:r>
    </w:p>
    <w:p w14:paraId="1956E222" w14:textId="77777777" w:rsidR="00EE02BD" w:rsidRDefault="00EE02BD" w:rsidP="00EE02BD">
      <w:pPr>
        <w:pStyle w:val="Odstavecseseznamem"/>
        <w:spacing w:after="0"/>
        <w:ind w:left="0"/>
        <w:jc w:val="both"/>
        <w:rPr>
          <w:color w:val="404040" w:themeColor="text1" w:themeTint="BF"/>
          <w:lang w:eastAsia="cs-CZ"/>
        </w:rPr>
      </w:pPr>
      <w:r w:rsidRPr="00EE02BD">
        <w:rPr>
          <w:color w:val="404040" w:themeColor="text1" w:themeTint="BF"/>
          <w:lang w:eastAsia="cs-CZ"/>
        </w:rPr>
        <w:t>S ohledem na dosavadní praxi a v případech starších vkladových listin splnění odkazu na geometrický plán není možné splnit, a proto navrhujeme ponechat možnost zachování ustálené dosavadní praxe jako alternativu k odkazům na geometrické plány. V opačném případě hrozí, že už existují vkladové listiny po účinnosti novely nebude možné zapsat.</w:t>
      </w:r>
    </w:p>
    <w:p w14:paraId="11C68E1A" w14:textId="77777777" w:rsidR="00F73718" w:rsidRDefault="00F73718" w:rsidP="00EE02BD">
      <w:pPr>
        <w:pStyle w:val="Odstavecseseznamem"/>
        <w:spacing w:after="0"/>
        <w:ind w:left="0"/>
        <w:jc w:val="both"/>
        <w:rPr>
          <w:color w:val="404040" w:themeColor="text1" w:themeTint="BF"/>
          <w:lang w:eastAsia="cs-CZ"/>
        </w:rPr>
      </w:pPr>
    </w:p>
    <w:p w14:paraId="312C51EA" w14:textId="0BD18FEA" w:rsidR="00B53DD7" w:rsidRPr="00AA6937" w:rsidRDefault="00F73718" w:rsidP="00AA6937">
      <w:pPr>
        <w:pStyle w:val="Odstavecseseznamem"/>
        <w:spacing w:after="120"/>
        <w:ind w:left="0"/>
        <w:contextualSpacing w:val="0"/>
        <w:jc w:val="both"/>
        <w:rPr>
          <w:b/>
          <w:color w:val="404040" w:themeColor="text1" w:themeTint="BF"/>
          <w:lang w:eastAsia="cs-CZ"/>
        </w:rPr>
      </w:pPr>
      <w:r w:rsidRPr="005530EE">
        <w:rPr>
          <w:b/>
          <w:color w:val="404040" w:themeColor="text1" w:themeTint="BF"/>
          <w:lang w:eastAsia="cs-CZ"/>
        </w:rPr>
        <w:t>Tato připomínka je zásadní.</w:t>
      </w:r>
    </w:p>
    <w:p w14:paraId="3BA4C067" w14:textId="0904177E" w:rsidR="00CE7057" w:rsidRDefault="00072393" w:rsidP="00080664">
      <w:pPr>
        <w:pStyle w:val="Odstavecseseznamem"/>
        <w:numPr>
          <w:ilvl w:val="0"/>
          <w:numId w:val="31"/>
        </w:numPr>
        <w:spacing w:after="120"/>
        <w:contextualSpacing w:val="0"/>
        <w:jc w:val="both"/>
        <w:rPr>
          <w:b/>
          <w:color w:val="404040" w:themeColor="text1" w:themeTint="BF"/>
          <w:u w:val="single"/>
          <w:lang w:eastAsia="cs-CZ"/>
        </w:rPr>
      </w:pPr>
      <w:r>
        <w:rPr>
          <w:b/>
          <w:color w:val="404040" w:themeColor="text1" w:themeTint="BF"/>
          <w:u w:val="single"/>
          <w:lang w:eastAsia="cs-CZ"/>
        </w:rPr>
        <w:t>K § 12 odst. 2</w:t>
      </w:r>
    </w:p>
    <w:p w14:paraId="770E82FF" w14:textId="580B477E" w:rsidR="00466C8C" w:rsidRDefault="00466C8C" w:rsidP="00466C8C">
      <w:pPr>
        <w:pStyle w:val="Odstavecseseznamem"/>
        <w:spacing w:after="120"/>
        <w:ind w:left="0"/>
        <w:contextualSpacing w:val="0"/>
        <w:jc w:val="both"/>
        <w:rPr>
          <w:b/>
          <w:color w:val="404040" w:themeColor="text1" w:themeTint="BF"/>
          <w:lang w:eastAsia="cs-CZ"/>
        </w:rPr>
      </w:pPr>
      <w:r>
        <w:rPr>
          <w:b/>
          <w:color w:val="404040" w:themeColor="text1" w:themeTint="BF"/>
          <w:lang w:eastAsia="cs-CZ"/>
        </w:rPr>
        <w:t xml:space="preserve">Požadujeme </w:t>
      </w:r>
      <w:r w:rsidR="00324E0E">
        <w:rPr>
          <w:b/>
          <w:color w:val="404040" w:themeColor="text1" w:themeTint="BF"/>
          <w:lang w:eastAsia="cs-CZ"/>
        </w:rPr>
        <w:t>doplnit</w:t>
      </w:r>
      <w:r w:rsidR="008C0E51">
        <w:rPr>
          <w:b/>
          <w:color w:val="404040" w:themeColor="text1" w:themeTint="BF"/>
          <w:lang w:eastAsia="cs-CZ"/>
        </w:rPr>
        <w:t xml:space="preserve"> nakonec odstavce následující větu. </w:t>
      </w:r>
    </w:p>
    <w:p w14:paraId="146127CC" w14:textId="2073BA5C" w:rsidR="001C2657" w:rsidRPr="001C2657" w:rsidRDefault="001C2657" w:rsidP="001C2657">
      <w:pPr>
        <w:pStyle w:val="Odstavecseseznamem"/>
        <w:spacing w:after="120"/>
        <w:ind w:left="0"/>
        <w:jc w:val="both"/>
        <w:rPr>
          <w:b/>
          <w:color w:val="404040" w:themeColor="text1" w:themeTint="BF"/>
          <w:lang w:eastAsia="cs-CZ"/>
        </w:rPr>
      </w:pPr>
      <w:r w:rsidRPr="001C2657">
        <w:rPr>
          <w:bCs/>
          <w:color w:val="404040" w:themeColor="text1" w:themeTint="BF"/>
          <w:lang w:eastAsia="cs-CZ"/>
        </w:rPr>
        <w:t>Stanoví-li zákon, že právo vzniká, mění se, zaniká nebo se promlčuje, ale listina, která v této souvislosti vzniká, neobsahuje údaje o právu potřebné pro zápis do katastru, stanoví vkladovou listinu prováděcí právní předpis. Obdobně se postupuje, pokud v dané souvislosti žádná listina nevzniká</w:t>
      </w:r>
      <w:r w:rsidRPr="001C2657">
        <w:rPr>
          <w:b/>
          <w:color w:val="404040" w:themeColor="text1" w:themeTint="BF"/>
          <w:lang w:eastAsia="cs-CZ"/>
        </w:rPr>
        <w:t>.</w:t>
      </w:r>
      <w:r w:rsidR="00D26134">
        <w:rPr>
          <w:b/>
          <w:color w:val="404040" w:themeColor="text1" w:themeTint="BF"/>
          <w:lang w:eastAsia="cs-CZ"/>
        </w:rPr>
        <w:t xml:space="preserve"> </w:t>
      </w:r>
      <w:r w:rsidR="00D26134" w:rsidRPr="00310C36">
        <w:rPr>
          <w:b/>
          <w:color w:val="404040" w:themeColor="text1" w:themeTint="BF"/>
          <w:lang w:eastAsia="cs-CZ"/>
        </w:rPr>
        <w:t>To neplatí v případě, že se jedná o deklaratorní zápis vzniku, změny, zániku nebo promlčení práva, přičemž z listiny je zřejmé, kterých nemovitostí se zápis týká.</w:t>
      </w:r>
      <w:r w:rsidRPr="00310C36">
        <w:rPr>
          <w:b/>
          <w:color w:val="404040" w:themeColor="text1" w:themeTint="BF"/>
          <w:lang w:eastAsia="cs-CZ"/>
        </w:rPr>
        <w:t xml:space="preserve"> Za vkladovou listinu se u zápisu vzniku věcných </w:t>
      </w:r>
      <w:r w:rsidRPr="001C2657">
        <w:rPr>
          <w:b/>
          <w:color w:val="404040" w:themeColor="text1" w:themeTint="BF"/>
          <w:lang w:eastAsia="cs-CZ"/>
        </w:rPr>
        <w:t xml:space="preserve">břemen dle zvláštních </w:t>
      </w:r>
      <w:proofErr w:type="spellStart"/>
      <w:r w:rsidRPr="001C2657">
        <w:rPr>
          <w:b/>
          <w:color w:val="404040" w:themeColor="text1" w:themeTint="BF"/>
          <w:lang w:eastAsia="cs-CZ"/>
        </w:rPr>
        <w:t>předpisů</w:t>
      </w:r>
      <w:r w:rsidRPr="001C2657">
        <w:rPr>
          <w:b/>
          <w:color w:val="404040" w:themeColor="text1" w:themeTint="BF"/>
          <w:vertAlign w:val="superscript"/>
          <w:lang w:eastAsia="cs-CZ"/>
        </w:rPr>
        <w:t>x</w:t>
      </w:r>
      <w:r w:rsidR="00CF2E9B">
        <w:rPr>
          <w:b/>
          <w:color w:val="404040" w:themeColor="text1" w:themeTint="BF"/>
          <w:vertAlign w:val="superscript"/>
          <w:lang w:eastAsia="cs-CZ"/>
        </w:rPr>
        <w:t>x</w:t>
      </w:r>
      <w:proofErr w:type="spellEnd"/>
      <w:r w:rsidRPr="001C2657">
        <w:rPr>
          <w:b/>
          <w:color w:val="404040" w:themeColor="text1" w:themeTint="BF"/>
          <w:lang w:eastAsia="cs-CZ"/>
        </w:rPr>
        <w:t xml:space="preserve"> považuje</w:t>
      </w:r>
      <w:r w:rsidR="0078225B">
        <w:rPr>
          <w:b/>
          <w:color w:val="404040" w:themeColor="text1" w:themeTint="BF"/>
          <w:lang w:eastAsia="cs-CZ"/>
        </w:rPr>
        <w:t xml:space="preserve"> zejména pravomocné</w:t>
      </w:r>
      <w:r w:rsidRPr="001C2657">
        <w:rPr>
          <w:b/>
          <w:color w:val="404040" w:themeColor="text1" w:themeTint="BF"/>
          <w:lang w:eastAsia="cs-CZ"/>
        </w:rPr>
        <w:t xml:space="preserve"> rozhodnutí o povolení záměru</w:t>
      </w:r>
      <w:r w:rsidR="0079464A">
        <w:rPr>
          <w:b/>
          <w:color w:val="404040" w:themeColor="text1" w:themeTint="BF"/>
          <w:lang w:eastAsia="cs-CZ"/>
        </w:rPr>
        <w:t xml:space="preserve"> </w:t>
      </w:r>
      <w:r w:rsidR="00215699">
        <w:rPr>
          <w:b/>
          <w:color w:val="404040" w:themeColor="text1" w:themeTint="BF"/>
          <w:lang w:eastAsia="cs-CZ"/>
        </w:rPr>
        <w:t>nebo potvrzení stavebního úřadu o tom, že se povolení považuje za udělené dle čl. 8 Nařízení EP a ER (EU) 2024/1309 ze dne 29. dubna 2024 o opatřeních ke snížení nákladů na budování gigabitových sítí elektronických komunikací</w:t>
      </w:r>
      <w:r w:rsidR="00215699" w:rsidRPr="001C2657">
        <w:rPr>
          <w:b/>
          <w:color w:val="404040" w:themeColor="text1" w:themeTint="BF"/>
          <w:lang w:eastAsia="cs-CZ"/>
        </w:rPr>
        <w:t xml:space="preserve">. </w:t>
      </w:r>
    </w:p>
    <w:p w14:paraId="41550D90" w14:textId="38265C0F" w:rsidR="003A4E3D" w:rsidRDefault="001C2657" w:rsidP="001C2657">
      <w:pPr>
        <w:pStyle w:val="Odstavecseseznamem"/>
        <w:spacing w:after="120"/>
        <w:ind w:left="0"/>
        <w:contextualSpacing w:val="0"/>
        <w:jc w:val="both"/>
        <w:rPr>
          <w:b/>
          <w:color w:val="404040" w:themeColor="text1" w:themeTint="BF"/>
          <w:lang w:eastAsia="cs-CZ"/>
        </w:rPr>
      </w:pPr>
      <w:r w:rsidRPr="001C2657">
        <w:rPr>
          <w:b/>
          <w:color w:val="404040" w:themeColor="text1" w:themeTint="BF"/>
          <w:lang w:eastAsia="cs-CZ"/>
        </w:rPr>
        <w:t xml:space="preserve">(Poznámka pod </w:t>
      </w:r>
      <w:proofErr w:type="gramStart"/>
      <w:r w:rsidRPr="001C2657">
        <w:rPr>
          <w:b/>
          <w:color w:val="404040" w:themeColor="text1" w:themeTint="BF"/>
          <w:lang w:eastAsia="cs-CZ"/>
        </w:rPr>
        <w:t xml:space="preserve">čarou - </w:t>
      </w:r>
      <w:r w:rsidR="0078225B">
        <w:rPr>
          <w:b/>
          <w:color w:val="404040" w:themeColor="text1" w:themeTint="BF"/>
          <w:vertAlign w:val="superscript"/>
          <w:lang w:eastAsia="cs-CZ"/>
        </w:rPr>
        <w:t>XX</w:t>
      </w:r>
      <w:proofErr w:type="gramEnd"/>
      <w:r w:rsidRPr="001C2657">
        <w:rPr>
          <w:b/>
          <w:color w:val="404040" w:themeColor="text1" w:themeTint="BF"/>
          <w:lang w:eastAsia="cs-CZ"/>
        </w:rPr>
        <w:t xml:space="preserve"> § 97b zákona č. 458/2000 Sb.,</w:t>
      </w:r>
      <w:r w:rsidR="008E580B">
        <w:rPr>
          <w:b/>
          <w:color w:val="404040" w:themeColor="text1" w:themeTint="BF"/>
          <w:lang w:eastAsia="cs-CZ"/>
        </w:rPr>
        <w:t xml:space="preserve"> o podmínkách podnikání a o výkonu státní správy v</w:t>
      </w:r>
      <w:r w:rsidR="00920D1A">
        <w:rPr>
          <w:b/>
          <w:color w:val="404040" w:themeColor="text1" w:themeTint="BF"/>
          <w:lang w:eastAsia="cs-CZ"/>
        </w:rPr>
        <w:t> </w:t>
      </w:r>
      <w:r w:rsidR="008E580B">
        <w:rPr>
          <w:b/>
          <w:color w:val="404040" w:themeColor="text1" w:themeTint="BF"/>
          <w:lang w:eastAsia="cs-CZ"/>
        </w:rPr>
        <w:t>e</w:t>
      </w:r>
      <w:r w:rsidR="00920D1A">
        <w:rPr>
          <w:b/>
          <w:color w:val="404040" w:themeColor="text1" w:themeTint="BF"/>
          <w:lang w:eastAsia="cs-CZ"/>
        </w:rPr>
        <w:t>nergetických odvětvích a o změně některých zákonů</w:t>
      </w:r>
      <w:r w:rsidRPr="001C2657">
        <w:rPr>
          <w:b/>
          <w:color w:val="404040" w:themeColor="text1" w:themeTint="BF"/>
          <w:lang w:eastAsia="cs-CZ"/>
        </w:rPr>
        <w:t xml:space="preserve"> </w:t>
      </w:r>
      <w:r w:rsidR="00920D1A">
        <w:rPr>
          <w:b/>
          <w:color w:val="404040" w:themeColor="text1" w:themeTint="BF"/>
          <w:lang w:eastAsia="cs-CZ"/>
        </w:rPr>
        <w:t>(</w:t>
      </w:r>
      <w:r w:rsidRPr="001C2657">
        <w:rPr>
          <w:b/>
          <w:color w:val="404040" w:themeColor="text1" w:themeTint="BF"/>
          <w:lang w:eastAsia="cs-CZ"/>
        </w:rPr>
        <w:t>energetický zákon)</w:t>
      </w:r>
      <w:r w:rsidR="00920D1A">
        <w:rPr>
          <w:b/>
          <w:color w:val="404040" w:themeColor="text1" w:themeTint="BF"/>
          <w:lang w:eastAsia="cs-CZ"/>
        </w:rPr>
        <w:t>, ve znění pozdějších předpisů</w:t>
      </w:r>
      <w:r w:rsidR="00BE7C89">
        <w:rPr>
          <w:b/>
          <w:color w:val="404040" w:themeColor="text1" w:themeTint="BF"/>
          <w:lang w:eastAsia="cs-CZ"/>
        </w:rPr>
        <w:t>,</w:t>
      </w:r>
      <w:r w:rsidR="00215699">
        <w:rPr>
          <w:b/>
          <w:color w:val="404040" w:themeColor="text1" w:themeTint="BF"/>
          <w:lang w:eastAsia="cs-CZ"/>
        </w:rPr>
        <w:t xml:space="preserve"> § 104a zákona č. 127/2005 Sb., o elektronických komunikacích, ve znění pozdějších předpisů</w:t>
      </w:r>
      <w:r w:rsidR="00CB512F">
        <w:rPr>
          <w:b/>
          <w:color w:val="404040" w:themeColor="text1" w:themeTint="BF"/>
          <w:lang w:eastAsia="cs-CZ"/>
        </w:rPr>
        <w:t>)</w:t>
      </w:r>
    </w:p>
    <w:p w14:paraId="4045BFAB" w14:textId="77777777" w:rsidR="003A4E3D" w:rsidRDefault="003A4E3D" w:rsidP="001C2657">
      <w:pPr>
        <w:pStyle w:val="Odstavecseseznamem"/>
        <w:spacing w:after="120"/>
        <w:ind w:left="0"/>
        <w:contextualSpacing w:val="0"/>
        <w:jc w:val="both"/>
        <w:rPr>
          <w:b/>
          <w:color w:val="404040" w:themeColor="text1" w:themeTint="BF"/>
          <w:lang w:eastAsia="cs-CZ"/>
        </w:rPr>
      </w:pPr>
      <w:r>
        <w:rPr>
          <w:b/>
          <w:color w:val="404040" w:themeColor="text1" w:themeTint="BF"/>
          <w:lang w:eastAsia="cs-CZ"/>
        </w:rPr>
        <w:t>Alternativní varianta:</w:t>
      </w:r>
    </w:p>
    <w:p w14:paraId="7C22FBC4" w14:textId="77777777" w:rsidR="00D90F17" w:rsidRPr="00D90F17" w:rsidRDefault="00920D1A" w:rsidP="00D90F17">
      <w:pPr>
        <w:pStyle w:val="Odstavecseseznamem"/>
        <w:spacing w:after="0"/>
        <w:ind w:left="0"/>
        <w:jc w:val="both"/>
        <w:rPr>
          <w:b/>
          <w:color w:val="404040" w:themeColor="text1" w:themeTint="BF"/>
          <w:lang w:eastAsia="cs-CZ"/>
        </w:rPr>
      </w:pPr>
      <w:r w:rsidRPr="00D90F17">
        <w:rPr>
          <w:b/>
          <w:color w:val="404040" w:themeColor="text1" w:themeTint="BF"/>
          <w:lang w:eastAsia="cs-CZ"/>
        </w:rPr>
        <w:t xml:space="preserve"> </w:t>
      </w:r>
      <w:r w:rsidR="00D90F17" w:rsidRPr="00D90F17">
        <w:rPr>
          <w:color w:val="404040" w:themeColor="text1" w:themeTint="BF"/>
          <w:lang w:eastAsia="cs-CZ"/>
        </w:rPr>
        <w:t xml:space="preserve">Stanoví-li zákon, že právo vzniká, mění se, zaniká nebo se promlčuje, ale listina, která v této souvislosti vzniká, neobsahuje údaje o právu potřebné pro zápis do katastru, stanoví vkladovou listinu prováděcí právní předpis. Obdobně se postupuje, pokud v dané souvislosti žádná listina nevzniká. </w:t>
      </w:r>
      <w:r w:rsidR="00D90F17" w:rsidRPr="00D90F17">
        <w:rPr>
          <w:b/>
          <w:color w:val="404040" w:themeColor="text1" w:themeTint="BF"/>
          <w:lang w:eastAsia="cs-CZ"/>
        </w:rPr>
        <w:t xml:space="preserve">To neplatí v případě, že se jedná o deklaratorní zápis vzniku, změny, zániku nebo promlčení práva, přičemž z listiny je zřejmé, kterých </w:t>
      </w:r>
      <w:r w:rsidR="00D90F17" w:rsidRPr="00D90F17">
        <w:rPr>
          <w:b/>
          <w:color w:val="404040" w:themeColor="text1" w:themeTint="BF"/>
          <w:lang w:eastAsia="cs-CZ"/>
        </w:rPr>
        <w:lastRenderedPageBreak/>
        <w:t xml:space="preserve">nemovitostí se zápis týká. Za vkladovou listinu se u zápisu vzniku věcných břemen dle zvláštních předpisů </w:t>
      </w:r>
      <w:proofErr w:type="spellStart"/>
      <w:r w:rsidR="00D90F17" w:rsidRPr="00D90F17">
        <w:rPr>
          <w:b/>
          <w:color w:val="404040" w:themeColor="text1" w:themeTint="BF"/>
          <w:vertAlign w:val="superscript"/>
          <w:lang w:eastAsia="cs-CZ"/>
        </w:rPr>
        <w:t>xx</w:t>
      </w:r>
      <w:proofErr w:type="spellEnd"/>
      <w:r w:rsidR="00D90F17" w:rsidRPr="00D90F17">
        <w:rPr>
          <w:b/>
          <w:color w:val="404040" w:themeColor="text1" w:themeTint="BF"/>
          <w:lang w:eastAsia="cs-CZ"/>
        </w:rPr>
        <w:t xml:space="preserve"> považuje zejména jednostranné prohlášení oprávněného z věcného břemene vzniklého dle zvláštních právních </w:t>
      </w:r>
      <w:proofErr w:type="spellStart"/>
      <w:r w:rsidR="00D90F17" w:rsidRPr="00D90F17">
        <w:rPr>
          <w:b/>
          <w:color w:val="404040" w:themeColor="text1" w:themeTint="BF"/>
          <w:lang w:eastAsia="cs-CZ"/>
        </w:rPr>
        <w:t>předpisů</w:t>
      </w:r>
      <w:r w:rsidR="00D90F17" w:rsidRPr="00D90F17">
        <w:rPr>
          <w:b/>
          <w:color w:val="404040" w:themeColor="text1" w:themeTint="BF"/>
          <w:vertAlign w:val="superscript"/>
          <w:lang w:eastAsia="cs-CZ"/>
        </w:rPr>
        <w:t>xx</w:t>
      </w:r>
      <w:proofErr w:type="spellEnd"/>
      <w:r w:rsidR="00D90F17" w:rsidRPr="00D90F17">
        <w:rPr>
          <w:b/>
          <w:color w:val="404040" w:themeColor="text1" w:themeTint="BF"/>
          <w:lang w:eastAsia="cs-CZ"/>
        </w:rPr>
        <w:t>, k němuž bude připojeno zejména pravomocné rozhodnutí o povolení záměru a pravomocné kolaudační rozhodnutí nebo čestné prohlášení o dokončení stavby, v případě, že se kolaudační rozhodnutí nevyžaduje.</w:t>
      </w:r>
    </w:p>
    <w:p w14:paraId="65219200" w14:textId="77777777" w:rsidR="00D90F17" w:rsidRPr="00D90F17" w:rsidRDefault="00D90F17" w:rsidP="00D90F17">
      <w:pPr>
        <w:pStyle w:val="Odstavecseseznamem"/>
        <w:spacing w:after="0"/>
        <w:ind w:left="0"/>
        <w:jc w:val="both"/>
        <w:rPr>
          <w:b/>
          <w:color w:val="404040" w:themeColor="text1" w:themeTint="BF"/>
          <w:lang w:eastAsia="cs-CZ"/>
        </w:rPr>
      </w:pPr>
      <w:r w:rsidRPr="00D90F17">
        <w:rPr>
          <w:b/>
          <w:color w:val="404040" w:themeColor="text1" w:themeTint="BF"/>
          <w:lang w:eastAsia="cs-CZ"/>
        </w:rPr>
        <w:t>Poznámka pod čarou</w:t>
      </w:r>
    </w:p>
    <w:p w14:paraId="53EAF752" w14:textId="77777777" w:rsidR="00D90F17" w:rsidRPr="00D90F17" w:rsidRDefault="00D90F17" w:rsidP="00D90F17">
      <w:pPr>
        <w:pStyle w:val="Odstavecseseznamem"/>
        <w:spacing w:after="0"/>
        <w:ind w:left="0"/>
        <w:jc w:val="both"/>
        <w:rPr>
          <w:b/>
          <w:color w:val="404040" w:themeColor="text1" w:themeTint="BF"/>
          <w:lang w:eastAsia="cs-CZ"/>
        </w:rPr>
      </w:pPr>
      <w:proofErr w:type="spellStart"/>
      <w:r w:rsidRPr="00D90F17">
        <w:rPr>
          <w:b/>
          <w:color w:val="404040" w:themeColor="text1" w:themeTint="BF"/>
          <w:vertAlign w:val="superscript"/>
          <w:lang w:eastAsia="cs-CZ"/>
        </w:rPr>
        <w:t>xx</w:t>
      </w:r>
      <w:proofErr w:type="spellEnd"/>
      <w:r w:rsidRPr="00D90F17">
        <w:rPr>
          <w:b/>
          <w:color w:val="404040" w:themeColor="text1" w:themeTint="BF"/>
          <w:lang w:eastAsia="cs-CZ"/>
        </w:rPr>
        <w:t xml:space="preserve"> § 97b zákona č. 458/2000Sb., o podmínkách podnikání a o výkonu státní správy v energetických odvětvích a o změně některých zákonů (energetický zákon), ve znění pozdějších předpisů</w:t>
      </w:r>
    </w:p>
    <w:p w14:paraId="0E19C3E5" w14:textId="77777777" w:rsidR="00FE5355" w:rsidRDefault="00FE5355" w:rsidP="001C2657">
      <w:pPr>
        <w:pStyle w:val="Odstavecseseznamem"/>
        <w:spacing w:after="120"/>
        <w:ind w:left="0"/>
        <w:contextualSpacing w:val="0"/>
        <w:jc w:val="both"/>
        <w:rPr>
          <w:b/>
          <w:color w:val="404040" w:themeColor="text1" w:themeTint="BF"/>
          <w:lang w:eastAsia="cs-CZ"/>
        </w:rPr>
      </w:pPr>
    </w:p>
    <w:p w14:paraId="0C03A9C7" w14:textId="17C75FA4" w:rsidR="00FE5355" w:rsidRDefault="00FE5355" w:rsidP="00AA6937">
      <w:pPr>
        <w:pStyle w:val="Odstavecseseznamem"/>
        <w:spacing w:after="0"/>
        <w:ind w:left="0"/>
        <w:contextualSpacing w:val="0"/>
        <w:jc w:val="both"/>
        <w:rPr>
          <w:b/>
          <w:color w:val="404040" w:themeColor="text1" w:themeTint="BF"/>
          <w:lang w:eastAsia="cs-CZ"/>
        </w:rPr>
      </w:pPr>
      <w:r>
        <w:rPr>
          <w:b/>
          <w:color w:val="404040" w:themeColor="text1" w:themeTint="BF"/>
          <w:lang w:eastAsia="cs-CZ"/>
        </w:rPr>
        <w:t>Odůvodnění:</w:t>
      </w:r>
    </w:p>
    <w:p w14:paraId="4F2D31FB" w14:textId="58366EBB" w:rsidR="00564636" w:rsidRPr="00937C4E" w:rsidRDefault="00564636" w:rsidP="00AA6937">
      <w:pPr>
        <w:pStyle w:val="Odstavecseseznamem"/>
        <w:spacing w:after="0"/>
        <w:ind w:left="0"/>
        <w:jc w:val="both"/>
        <w:rPr>
          <w:bCs/>
          <w:color w:val="404040" w:themeColor="text1" w:themeTint="BF"/>
          <w:lang w:eastAsia="cs-CZ"/>
        </w:rPr>
      </w:pPr>
      <w:r w:rsidRPr="00937C4E">
        <w:rPr>
          <w:bCs/>
          <w:color w:val="404040" w:themeColor="text1" w:themeTint="BF"/>
          <w:lang w:eastAsia="cs-CZ"/>
        </w:rPr>
        <w:t>Nemožnost zapisovat do katastru nemovitostí zejména zákonná věcné břemena na základě rozhodnutí stavebních úřadů, která vznikají konstitutivně okamžikem rozhodnutí stavebních úřadů vede k právní nejistotě zejména pro nabyvatele pozemků, na nichž věcné břemeno vázne. Dlouhodobý, právním předpisem nepodložený požadavek ČÚZK na zápis těchto věcných břemen formou souhlasného prohlášení povinného a oprávněného z věcného břemene vede právě k nemožnosti zapisovat tyto věcná břemena do katastru. Naopak aktuální rozhodovací praxe soudů se kloní k tomu, že pro zápis těchto věcných břemen postačuje rozhodnutí stavebních úřadů. Z tohoto důvodu, požadujeme, aby zápisy zejména zákonných věcných břemen se prováděly na základě rozhodnutí stavebních úřadů, tj. aby se za vkladové listiny považovaly rozhodnutí o povolení záměru, územního rozhodnutí</w:t>
      </w:r>
      <w:r w:rsidR="00BC0B84">
        <w:rPr>
          <w:bCs/>
          <w:color w:val="404040" w:themeColor="text1" w:themeTint="BF"/>
          <w:lang w:eastAsia="cs-CZ"/>
        </w:rPr>
        <w:t xml:space="preserve"> </w:t>
      </w:r>
      <w:r w:rsidR="00BC0B84" w:rsidRPr="00BC0B84">
        <w:rPr>
          <w:bCs/>
          <w:color w:val="404040" w:themeColor="text1" w:themeTint="BF"/>
          <w:lang w:eastAsia="cs-CZ"/>
        </w:rPr>
        <w:t>nebo potvrzení stavebního úřadu o tom, že se povolení považuje za udělené dle čl. 8 Nařízení Evropského parlamentu a Rady (EU) 2024/1309 ze dne 29. dubna 2024 o opatřeních ke snížení nákladů na budování gigabitových sítí elektronických komunikací.</w:t>
      </w:r>
    </w:p>
    <w:p w14:paraId="13E34F1D" w14:textId="77777777" w:rsidR="00564636" w:rsidRPr="00937C4E" w:rsidRDefault="00564636" w:rsidP="00564636">
      <w:pPr>
        <w:pStyle w:val="Odstavecseseznamem"/>
        <w:spacing w:after="0"/>
        <w:ind w:left="0"/>
        <w:jc w:val="both"/>
        <w:rPr>
          <w:bCs/>
          <w:color w:val="404040" w:themeColor="text1" w:themeTint="BF"/>
          <w:lang w:eastAsia="cs-CZ"/>
        </w:rPr>
      </w:pPr>
      <w:r w:rsidRPr="00937C4E">
        <w:rPr>
          <w:bCs/>
          <w:color w:val="404040" w:themeColor="text1" w:themeTint="BF"/>
          <w:lang w:eastAsia="cs-CZ"/>
        </w:rPr>
        <w:t xml:space="preserve">V případě vzniku věcného břemene ze zákona podle § 97b energetického zákona se v souladu s aktuální judikaturou za vkladovou listinu navrhuje jednostranné prohlášení oprávněného z tohoto věcného břemene o vzniku tohoto věcného břemene, k němuž bude připojeno pravomocné rozhodnutí povolení záměru podle stavebního zákona (§ 197 a následující stavebního zákona) a pravomocné kolaudační rozhodnutí, pokud jej zákon vyžaduje (§ 235 stavebního zákona), jinak čestné prohlášení oprávněného z věcného břemene o dokončení stavby. </w:t>
      </w:r>
    </w:p>
    <w:p w14:paraId="761515EF" w14:textId="69312F53" w:rsidR="007106FB" w:rsidRPr="00937C4E" w:rsidRDefault="00564636" w:rsidP="00CC57CB">
      <w:pPr>
        <w:pStyle w:val="Odstavecseseznamem"/>
        <w:spacing w:after="0"/>
        <w:ind w:left="0"/>
        <w:jc w:val="both"/>
        <w:rPr>
          <w:bCs/>
          <w:color w:val="404040" w:themeColor="text1" w:themeTint="BF"/>
          <w:lang w:eastAsia="cs-CZ"/>
        </w:rPr>
      </w:pPr>
      <w:r w:rsidRPr="00937C4E">
        <w:rPr>
          <w:bCs/>
          <w:color w:val="404040" w:themeColor="text1" w:themeTint="BF"/>
          <w:lang w:eastAsia="cs-CZ"/>
        </w:rPr>
        <w:t xml:space="preserve">Zároveň nelze akceptovat právní stav, kdy by podzákonný právní předpis (katastrální vyhláška) stanovoval, které listiny mají kvalitu vkladové listiny pro vklad práva vzniklého na základě (jiného) zákona. Takový postup by byl v rozporu se zásadou hierarchie právních norem a ústavněprávními principy dělby moci. </w:t>
      </w:r>
    </w:p>
    <w:p w14:paraId="2F8BAB4A" w14:textId="77777777" w:rsidR="00CC57CB" w:rsidRPr="00CC57CB" w:rsidRDefault="00CC57CB" w:rsidP="00CC57CB">
      <w:pPr>
        <w:pStyle w:val="Odstavecseseznamem"/>
        <w:spacing w:after="0"/>
        <w:ind w:left="0"/>
        <w:jc w:val="both"/>
        <w:rPr>
          <w:bCs/>
          <w:lang w:eastAsia="cs-CZ"/>
        </w:rPr>
      </w:pPr>
    </w:p>
    <w:p w14:paraId="2F7E44BA" w14:textId="23D85A6F" w:rsidR="005F5317" w:rsidRPr="00CC57CB" w:rsidRDefault="007106FB" w:rsidP="005F5317">
      <w:pPr>
        <w:pStyle w:val="Odstavecseseznamem"/>
        <w:spacing w:after="120"/>
        <w:ind w:left="0"/>
        <w:contextualSpacing w:val="0"/>
        <w:jc w:val="both"/>
        <w:rPr>
          <w:b/>
          <w:bCs/>
          <w:color w:val="404040" w:themeColor="text1" w:themeTint="BF"/>
          <w:lang w:eastAsia="cs-CZ"/>
        </w:rPr>
      </w:pPr>
      <w:r w:rsidRPr="14565BFB">
        <w:rPr>
          <w:b/>
          <w:bCs/>
          <w:color w:val="404040" w:themeColor="text1" w:themeTint="BF"/>
          <w:lang w:eastAsia="cs-CZ"/>
        </w:rPr>
        <w:t>Tato připomínka je zásadní.</w:t>
      </w:r>
    </w:p>
    <w:p w14:paraId="480A25AA" w14:textId="1DD8361A" w:rsidR="00080664" w:rsidRDefault="00080664" w:rsidP="00080664">
      <w:pPr>
        <w:pStyle w:val="Odstavecseseznamem"/>
        <w:numPr>
          <w:ilvl w:val="0"/>
          <w:numId w:val="31"/>
        </w:numPr>
        <w:spacing w:after="120"/>
        <w:contextualSpacing w:val="0"/>
        <w:jc w:val="both"/>
        <w:rPr>
          <w:b/>
          <w:color w:val="404040" w:themeColor="text1" w:themeTint="BF"/>
          <w:u w:val="single"/>
          <w:lang w:eastAsia="cs-CZ"/>
        </w:rPr>
      </w:pPr>
      <w:r>
        <w:rPr>
          <w:b/>
          <w:color w:val="404040" w:themeColor="text1" w:themeTint="BF"/>
          <w:u w:val="single"/>
          <w:lang w:eastAsia="cs-CZ"/>
        </w:rPr>
        <w:t xml:space="preserve">K § 14 odst. 2: </w:t>
      </w:r>
    </w:p>
    <w:p w14:paraId="0B3BFB9B" w14:textId="043D8B00" w:rsidR="00080664" w:rsidRDefault="00080664" w:rsidP="00080664">
      <w:pPr>
        <w:pStyle w:val="Odstavecseseznamem"/>
        <w:spacing w:after="120"/>
        <w:ind w:left="0"/>
        <w:contextualSpacing w:val="0"/>
        <w:jc w:val="both"/>
        <w:rPr>
          <w:color w:val="404040" w:themeColor="text1" w:themeTint="BF"/>
          <w:lang w:eastAsia="cs-CZ"/>
        </w:rPr>
      </w:pPr>
      <w:r>
        <w:rPr>
          <w:color w:val="404040" w:themeColor="text1" w:themeTint="BF"/>
          <w:lang w:eastAsia="cs-CZ"/>
        </w:rPr>
        <w:t>P</w:t>
      </w:r>
      <w:r w:rsidRPr="0084619B">
        <w:rPr>
          <w:color w:val="404040" w:themeColor="text1" w:themeTint="BF"/>
          <w:lang w:eastAsia="cs-CZ"/>
        </w:rPr>
        <w:t xml:space="preserve">ovinnost elektronického podání </w:t>
      </w:r>
      <w:r>
        <w:rPr>
          <w:color w:val="404040" w:themeColor="text1" w:themeTint="BF"/>
          <w:lang w:eastAsia="cs-CZ"/>
        </w:rPr>
        <w:t>by neměla být vůbec</w:t>
      </w:r>
      <w:r w:rsidRPr="0084619B">
        <w:rPr>
          <w:color w:val="404040" w:themeColor="text1" w:themeTint="BF"/>
          <w:lang w:eastAsia="cs-CZ"/>
        </w:rPr>
        <w:t xml:space="preserve"> stanovena, případně aby byla formulována jednoznačněji. Pokud má být zachována, je nezbytné přesně vymezit liberační důvody, tedy situace, kdy lze návrh podat v listinné podobě, a to tak, aby byly předvídatelné a aplikovatelné bez nutnosti výkladu správního orgánu.</w:t>
      </w:r>
    </w:p>
    <w:p w14:paraId="41A12A79" w14:textId="77777777" w:rsidR="00080664" w:rsidRDefault="00080664" w:rsidP="00080664">
      <w:pPr>
        <w:pStyle w:val="Odstavecseseznamem"/>
        <w:spacing w:after="120"/>
        <w:ind w:left="0"/>
        <w:contextualSpacing w:val="0"/>
        <w:jc w:val="both"/>
        <w:rPr>
          <w:b/>
          <w:color w:val="404040" w:themeColor="text1" w:themeTint="BF"/>
          <w:lang w:eastAsia="cs-CZ"/>
        </w:rPr>
      </w:pPr>
      <w:r w:rsidRPr="00C56EBC">
        <w:rPr>
          <w:b/>
          <w:color w:val="404040" w:themeColor="text1" w:themeTint="BF"/>
          <w:lang w:eastAsia="cs-CZ"/>
        </w:rPr>
        <w:t>Odůvodnění:</w:t>
      </w:r>
    </w:p>
    <w:p w14:paraId="65B0EA02" w14:textId="77777777" w:rsidR="00080664" w:rsidRDefault="00080664" w:rsidP="00080664">
      <w:pPr>
        <w:pStyle w:val="Odstavecseseznamem"/>
        <w:spacing w:after="120"/>
        <w:ind w:left="0"/>
        <w:contextualSpacing w:val="0"/>
        <w:jc w:val="both"/>
        <w:rPr>
          <w:color w:val="404040" w:themeColor="text1" w:themeTint="BF"/>
          <w:lang w:eastAsia="cs-CZ"/>
        </w:rPr>
      </w:pPr>
      <w:r w:rsidRPr="00464C3A">
        <w:rPr>
          <w:color w:val="404040" w:themeColor="text1" w:themeTint="BF"/>
          <w:lang w:eastAsia="cs-CZ"/>
        </w:rPr>
        <w:lastRenderedPageBreak/>
        <w:t>Navrhovaná úprava zavádí povinnost elektronického podání návrhu na vklad pro osoby, kterým byla datová schránka zřízena bez jejich žádosti. Tato povinnost však naráží na praktické problémy, které nejsou v návrhu dostatečně reflektovány.</w:t>
      </w:r>
    </w:p>
    <w:p w14:paraId="4F0E32C1" w14:textId="77777777" w:rsidR="00080664" w:rsidRDefault="00080664" w:rsidP="00080664">
      <w:pPr>
        <w:pStyle w:val="Odstavecseseznamem"/>
        <w:spacing w:after="120"/>
        <w:ind w:left="0"/>
        <w:contextualSpacing w:val="0"/>
        <w:jc w:val="both"/>
        <w:rPr>
          <w:color w:val="404040" w:themeColor="text1" w:themeTint="BF"/>
          <w:lang w:eastAsia="cs-CZ"/>
        </w:rPr>
      </w:pPr>
      <w:r w:rsidRPr="14565BFB">
        <w:rPr>
          <w:color w:val="404040" w:themeColor="text1" w:themeTint="BF"/>
          <w:lang w:eastAsia="cs-CZ"/>
        </w:rPr>
        <w:t xml:space="preserve">Subjekt, kterému byla zřízena datová schránka nemá povinnost disponovat </w:t>
      </w:r>
      <w:r>
        <w:rPr>
          <w:color w:val="404040" w:themeColor="text1" w:themeTint="BF"/>
          <w:lang w:eastAsia="cs-CZ"/>
        </w:rPr>
        <w:t xml:space="preserve">uznávaným </w:t>
      </w:r>
      <w:r w:rsidRPr="14565BFB">
        <w:rPr>
          <w:color w:val="404040" w:themeColor="text1" w:themeTint="BF"/>
          <w:lang w:eastAsia="cs-CZ"/>
        </w:rPr>
        <w:t>elektronickým podpisem</w:t>
      </w:r>
      <w:r>
        <w:rPr>
          <w:color w:val="404040" w:themeColor="text1" w:themeTint="BF"/>
          <w:lang w:eastAsia="cs-CZ"/>
        </w:rPr>
        <w:t>, který je vyžadován pro vkladovou listinu</w:t>
      </w:r>
      <w:r w:rsidRPr="14565BFB">
        <w:rPr>
          <w:color w:val="404040" w:themeColor="text1" w:themeTint="BF"/>
          <w:lang w:eastAsia="cs-CZ"/>
        </w:rPr>
        <w:t>. Stejně tak v případě, kdy</w:t>
      </w:r>
      <w:r>
        <w:rPr>
          <w:color w:val="404040" w:themeColor="text1" w:themeTint="BF"/>
          <w:lang w:eastAsia="cs-CZ"/>
        </w:rPr>
        <w:t xml:space="preserve"> uznávaný</w:t>
      </w:r>
      <w:r w:rsidRPr="14565BFB">
        <w:rPr>
          <w:color w:val="404040" w:themeColor="text1" w:themeTint="BF"/>
          <w:lang w:eastAsia="cs-CZ"/>
        </w:rPr>
        <w:t xml:space="preserve"> elektronický podpis má, nemusí jej mít protistrana. Ta nemusí mít ani datovou schránku. V takovém případě není patrné, zda je toto „odůvodněným případem“</w:t>
      </w:r>
      <w:r>
        <w:rPr>
          <w:color w:val="404040" w:themeColor="text1" w:themeTint="BF"/>
          <w:lang w:eastAsia="cs-CZ"/>
        </w:rPr>
        <w:t xml:space="preserve"> ve smyslu navrhované úpravy</w:t>
      </w:r>
      <w:r w:rsidRPr="14565BFB">
        <w:rPr>
          <w:color w:val="404040" w:themeColor="text1" w:themeTint="BF"/>
          <w:lang w:eastAsia="cs-CZ"/>
        </w:rPr>
        <w:t xml:space="preserve">. Definice je tak vágní a působí právní nejistotu adresátů normy. </w:t>
      </w:r>
    </w:p>
    <w:p w14:paraId="6EBE02C2" w14:textId="77777777" w:rsidR="00080664" w:rsidRPr="0084619B" w:rsidRDefault="00080664" w:rsidP="00080664">
      <w:pPr>
        <w:pStyle w:val="Odstavecseseznamem"/>
        <w:spacing w:after="120"/>
        <w:ind w:left="0"/>
        <w:contextualSpacing w:val="0"/>
        <w:jc w:val="both"/>
        <w:rPr>
          <w:color w:val="404040" w:themeColor="text1" w:themeTint="BF"/>
          <w:lang w:eastAsia="cs-CZ"/>
        </w:rPr>
      </w:pPr>
      <w:r w:rsidRPr="0084619B">
        <w:rPr>
          <w:color w:val="404040" w:themeColor="text1" w:themeTint="BF"/>
          <w:lang w:eastAsia="cs-CZ"/>
        </w:rPr>
        <w:t>Jako možné řešení se nabízí autorizovaná konverze dokumentu, která však klade zvýšené nároky na personální kapacity podávajícího subjektu, a tím i na mzdové prostředky. Tyto náklady nejsou kompenzovány úsporou na správním poplatku, což činí navrhovanou povinnost ekonomicky nevýhodnou.</w:t>
      </w:r>
    </w:p>
    <w:p w14:paraId="1C77F93C" w14:textId="544FD10C" w:rsidR="00080664" w:rsidRPr="00C8539E" w:rsidRDefault="00080664" w:rsidP="00C8539E">
      <w:pPr>
        <w:pStyle w:val="Odstavecseseznamem"/>
        <w:spacing w:after="120"/>
        <w:ind w:left="0"/>
        <w:contextualSpacing w:val="0"/>
        <w:jc w:val="both"/>
        <w:rPr>
          <w:b/>
          <w:bCs/>
          <w:color w:val="404040" w:themeColor="text1" w:themeTint="BF"/>
          <w:lang w:eastAsia="cs-CZ"/>
        </w:rPr>
      </w:pPr>
      <w:r w:rsidRPr="14565BFB">
        <w:rPr>
          <w:b/>
          <w:bCs/>
          <w:color w:val="404040" w:themeColor="text1" w:themeTint="BF"/>
          <w:lang w:eastAsia="cs-CZ"/>
        </w:rPr>
        <w:t>Tato připomínka je zásadní.</w:t>
      </w:r>
    </w:p>
    <w:p w14:paraId="4848A0F9" w14:textId="3D6905CD" w:rsidR="003D16C3" w:rsidRDefault="001B5797" w:rsidP="00080664">
      <w:pPr>
        <w:pStyle w:val="Odstavecseseznamem"/>
        <w:numPr>
          <w:ilvl w:val="0"/>
          <w:numId w:val="31"/>
        </w:numPr>
        <w:spacing w:after="0"/>
        <w:jc w:val="both"/>
        <w:rPr>
          <w:b/>
          <w:color w:val="404040" w:themeColor="text1" w:themeTint="BF"/>
          <w:u w:val="single"/>
          <w:lang w:eastAsia="cs-CZ"/>
        </w:rPr>
      </w:pPr>
      <w:r>
        <w:rPr>
          <w:b/>
          <w:color w:val="404040" w:themeColor="text1" w:themeTint="BF"/>
          <w:u w:val="single"/>
          <w:lang w:eastAsia="cs-CZ"/>
        </w:rPr>
        <w:t xml:space="preserve">K § 16 odst. 1 </w:t>
      </w:r>
    </w:p>
    <w:p w14:paraId="4A755B90" w14:textId="417B7727" w:rsidR="008B34BA" w:rsidRDefault="001D1064" w:rsidP="008B34BA">
      <w:pPr>
        <w:pStyle w:val="Odstavecseseznamem"/>
        <w:spacing w:after="0"/>
        <w:ind w:left="0"/>
        <w:jc w:val="both"/>
        <w:rPr>
          <w:b/>
          <w:color w:val="404040" w:themeColor="text1" w:themeTint="BF"/>
          <w:lang w:eastAsia="cs-CZ"/>
        </w:rPr>
      </w:pPr>
      <w:r>
        <w:rPr>
          <w:b/>
          <w:color w:val="404040" w:themeColor="text1" w:themeTint="BF"/>
          <w:lang w:eastAsia="cs-CZ"/>
        </w:rPr>
        <w:t>Požadujeme</w:t>
      </w:r>
      <w:r w:rsidR="00A14D26">
        <w:rPr>
          <w:b/>
          <w:color w:val="404040" w:themeColor="text1" w:themeTint="BF"/>
          <w:lang w:eastAsia="cs-CZ"/>
        </w:rPr>
        <w:t xml:space="preserve"> </w:t>
      </w:r>
      <w:r w:rsidR="00BC551F">
        <w:rPr>
          <w:b/>
          <w:color w:val="404040" w:themeColor="text1" w:themeTint="BF"/>
          <w:lang w:eastAsia="cs-CZ"/>
        </w:rPr>
        <w:t>upravit</w:t>
      </w:r>
      <w:r w:rsidR="002109DC">
        <w:rPr>
          <w:b/>
          <w:color w:val="404040" w:themeColor="text1" w:themeTint="BF"/>
          <w:lang w:eastAsia="cs-CZ"/>
        </w:rPr>
        <w:t xml:space="preserve"> dle</w:t>
      </w:r>
      <w:r w:rsidR="00A14D26">
        <w:rPr>
          <w:b/>
          <w:color w:val="404040" w:themeColor="text1" w:themeTint="BF"/>
          <w:lang w:eastAsia="cs-CZ"/>
        </w:rPr>
        <w:t xml:space="preserve"> násled</w:t>
      </w:r>
      <w:r w:rsidR="002109DC">
        <w:rPr>
          <w:b/>
          <w:color w:val="404040" w:themeColor="text1" w:themeTint="BF"/>
          <w:lang w:eastAsia="cs-CZ"/>
        </w:rPr>
        <w:t>ujícího</w:t>
      </w:r>
      <w:r w:rsidR="00BC551F">
        <w:rPr>
          <w:b/>
          <w:color w:val="404040" w:themeColor="text1" w:themeTint="BF"/>
          <w:lang w:eastAsia="cs-CZ"/>
        </w:rPr>
        <w:t>:</w:t>
      </w:r>
    </w:p>
    <w:p w14:paraId="2876EC70" w14:textId="77777777" w:rsidR="00A14D26" w:rsidRDefault="00A14D26" w:rsidP="008B34BA">
      <w:pPr>
        <w:pStyle w:val="Odstavecseseznamem"/>
        <w:spacing w:after="0"/>
        <w:ind w:left="0"/>
        <w:jc w:val="both"/>
        <w:rPr>
          <w:b/>
          <w:color w:val="404040" w:themeColor="text1" w:themeTint="BF"/>
          <w:lang w:eastAsia="cs-CZ"/>
        </w:rPr>
      </w:pPr>
    </w:p>
    <w:p w14:paraId="6A52DEDA" w14:textId="0CD0C112" w:rsidR="00A14D26" w:rsidRDefault="00A14D26" w:rsidP="008B34BA">
      <w:pPr>
        <w:pStyle w:val="Odstavecseseznamem"/>
        <w:spacing w:after="0"/>
        <w:ind w:left="0"/>
        <w:jc w:val="both"/>
        <w:rPr>
          <w:bCs/>
          <w:color w:val="404040" w:themeColor="text1" w:themeTint="BF"/>
          <w:lang w:eastAsia="cs-CZ"/>
        </w:rPr>
      </w:pPr>
      <w:r w:rsidRPr="00A14D26">
        <w:rPr>
          <w:b/>
          <w:color w:val="404040" w:themeColor="text1" w:themeTint="BF"/>
          <w:lang w:eastAsia="cs-CZ"/>
        </w:rPr>
        <w:t>O vyznačení, že právní poměry jsou dotčeny změnou, katastrální úřad informuje, nejpozději den poté, co ke změně došlo, vlastníka nemovitosti a oprávněného z věcných práv a dalších osobách, kterých se údaje o právech týkají zasláním informace na adresu podle § 14 odst. 1 písm. b) nebo prostřednictvím datové schránky; pokud ji mají osoby dle této věty zřízenou; katastrální úřad informuje vlastníka také elektronicky na e-mailovou adresu nebo zprávou na mobilní telefon.</w:t>
      </w:r>
      <w:r w:rsidRPr="00A14D26">
        <w:rPr>
          <w:bCs/>
          <w:color w:val="404040" w:themeColor="text1" w:themeTint="BF"/>
          <w:lang w:eastAsia="cs-CZ"/>
        </w:rPr>
        <w:t xml:space="preserve"> Ustanovení § 47 správního řádu se nepoužije ve vztahu k účastníkům, kteří mají zřízenu službu sledování změn v katastru, </w:t>
      </w:r>
      <w:r w:rsidRPr="00A14D26">
        <w:rPr>
          <w:bCs/>
          <w:strike/>
          <w:color w:val="404040" w:themeColor="text1" w:themeTint="BF"/>
          <w:lang w:eastAsia="cs-CZ"/>
        </w:rPr>
        <w:t>a účastníkům, kteří podali návrh na vklad</w:t>
      </w:r>
      <w:r w:rsidRPr="00A14D26">
        <w:rPr>
          <w:bCs/>
          <w:color w:val="404040" w:themeColor="text1" w:themeTint="BF"/>
          <w:lang w:eastAsia="cs-CZ"/>
        </w:rPr>
        <w:t>. Ustanovení § 36 odst. 3 správního řádu se ve vkladovém řízení použije pouze v případě, že má být vydáno rozhodnutí o zamítnutí vkladu. Ustanovení § 44 odst. 2 správního řádu se ve vkladovém řízení nepoužije.</w:t>
      </w:r>
    </w:p>
    <w:p w14:paraId="4D338DF9" w14:textId="77777777" w:rsidR="005C1434" w:rsidRDefault="005C1434" w:rsidP="008B34BA">
      <w:pPr>
        <w:pStyle w:val="Odstavecseseznamem"/>
        <w:spacing w:after="0"/>
        <w:ind w:left="0"/>
        <w:jc w:val="both"/>
        <w:rPr>
          <w:bCs/>
          <w:color w:val="404040" w:themeColor="text1" w:themeTint="BF"/>
          <w:lang w:eastAsia="cs-CZ"/>
        </w:rPr>
      </w:pPr>
    </w:p>
    <w:p w14:paraId="398A8A4E" w14:textId="77777777" w:rsidR="005C1434" w:rsidRPr="00C56EBC" w:rsidRDefault="005C1434" w:rsidP="005C1434">
      <w:pPr>
        <w:pStyle w:val="Odstavecseseznamem"/>
        <w:spacing w:after="0"/>
        <w:ind w:left="0"/>
        <w:jc w:val="both"/>
        <w:rPr>
          <w:b/>
          <w:color w:val="404040" w:themeColor="text1" w:themeTint="BF"/>
          <w:lang w:eastAsia="cs-CZ"/>
        </w:rPr>
      </w:pPr>
      <w:r w:rsidRPr="00C56EBC">
        <w:rPr>
          <w:b/>
          <w:color w:val="404040" w:themeColor="text1" w:themeTint="BF"/>
          <w:lang w:eastAsia="cs-CZ"/>
        </w:rPr>
        <w:t>Odůvodnění:</w:t>
      </w:r>
    </w:p>
    <w:p w14:paraId="12E8B0AC" w14:textId="77777777" w:rsidR="005C1434" w:rsidRPr="005C1434" w:rsidRDefault="005C1434" w:rsidP="005C1434">
      <w:pPr>
        <w:spacing w:after="120"/>
        <w:jc w:val="both"/>
        <w:rPr>
          <w:rFonts w:cstheme="minorHAnsi"/>
          <w:color w:val="404040" w:themeColor="text1" w:themeTint="BF"/>
        </w:rPr>
      </w:pPr>
      <w:r w:rsidRPr="005C1434">
        <w:rPr>
          <w:rFonts w:cstheme="minorHAnsi"/>
          <w:color w:val="404040" w:themeColor="text1" w:themeTint="BF"/>
        </w:rPr>
        <w:t>Jedná se o částečné modifikované navrácení původního znění odst. 1 (zvýrazněná část textu v úvodu odst. 1).</w:t>
      </w:r>
    </w:p>
    <w:p w14:paraId="03CE8444" w14:textId="77777777" w:rsidR="005C1434" w:rsidRPr="005C1434" w:rsidRDefault="005C1434" w:rsidP="005C1434">
      <w:pPr>
        <w:spacing w:after="120"/>
        <w:jc w:val="both"/>
        <w:rPr>
          <w:rFonts w:cstheme="minorHAnsi"/>
          <w:color w:val="404040" w:themeColor="text1" w:themeTint="BF"/>
        </w:rPr>
      </w:pPr>
      <w:r w:rsidRPr="005C1434">
        <w:rPr>
          <w:rFonts w:cstheme="minorHAnsi"/>
          <w:color w:val="404040" w:themeColor="text1" w:themeTint="BF"/>
        </w:rPr>
        <w:t>Je žádoucí, aby katastrální zákon řešil problematiku doručování samostatně komplexně a neodkazoval pouze obecně na správní řád. Každý vlastník nemovitostí by měl být dostatečně informován o tom, jaké změny se dotýkají jeho nemovitosti. Nelze po nikom požadovat, aby měl zřízenou službu sledování změn v katastru, což je v navrhované úpravě hlavní formát informování vlastníků (a dalších relevantních osob). V rámci navrhované úpravy taktéž vypadl formát jednoduchého, ale efektivního informování v podobě e-mailových zpráv a zpráv na mobilní telefon.</w:t>
      </w:r>
    </w:p>
    <w:p w14:paraId="24B4C6A6" w14:textId="77777777" w:rsidR="005C1434" w:rsidRPr="005C1434" w:rsidRDefault="005C1434" w:rsidP="005C1434">
      <w:pPr>
        <w:spacing w:after="120"/>
        <w:jc w:val="both"/>
        <w:rPr>
          <w:rFonts w:cstheme="minorHAnsi"/>
          <w:color w:val="404040" w:themeColor="text1" w:themeTint="BF"/>
        </w:rPr>
      </w:pPr>
      <w:r w:rsidRPr="005C1434">
        <w:rPr>
          <w:rFonts w:cstheme="minorHAnsi"/>
          <w:color w:val="404040" w:themeColor="text1" w:themeTint="BF"/>
        </w:rPr>
        <w:t xml:space="preserve">Text </w:t>
      </w:r>
      <w:r w:rsidRPr="005C1434">
        <w:rPr>
          <w:rFonts w:cstheme="minorHAnsi"/>
          <w:i/>
          <w:iCs/>
          <w:color w:val="404040" w:themeColor="text1" w:themeTint="BF"/>
        </w:rPr>
        <w:t>„…, a účastníkům, kteří podali návrh na vklad“</w:t>
      </w:r>
      <w:r w:rsidRPr="005C1434">
        <w:rPr>
          <w:rFonts w:cstheme="minorHAnsi"/>
          <w:color w:val="404040" w:themeColor="text1" w:themeTint="BF"/>
        </w:rPr>
        <w:t xml:space="preserve"> doporučujeme vypustit, neboť navrhovaná úprava by nepokrývala případy, kdy dochází ke zfalšování podpisů, vkladů apod. Katastr nemovitostí nemá možnost ověřit, zda se jedná o zfalšované podklady či nikoliv (v konkrétním případě - pokud by u souhlasných prohlášení ke zrušení věcného břemena strana povinná z věcného břemene zfalšovala podpis strany oprávněné, příslušné dokumenty následně předložila na katastr nemovitostí a ten by na základě těchto podkladů věcné břemeno vymazal, o čemž by strana oprávněná nebyla informována, neboť z pohledu navrhované úpravy je </w:t>
      </w:r>
      <w:r w:rsidRPr="005C1434">
        <w:rPr>
          <w:rFonts w:cstheme="minorHAnsi"/>
          <w:i/>
          <w:iCs/>
          <w:color w:val="404040" w:themeColor="text1" w:themeTint="BF"/>
        </w:rPr>
        <w:t>„účastníkem, který podal návrh na vklad“</w:t>
      </w:r>
      <w:r w:rsidRPr="005C1434">
        <w:rPr>
          <w:rFonts w:cstheme="minorHAnsi"/>
          <w:color w:val="404040" w:themeColor="text1" w:themeTint="BF"/>
        </w:rPr>
        <w:t>.</w:t>
      </w:r>
    </w:p>
    <w:p w14:paraId="46358CA5" w14:textId="77777777" w:rsidR="005C1434" w:rsidRPr="005C1434" w:rsidRDefault="005C1434" w:rsidP="005C1434">
      <w:pPr>
        <w:pStyle w:val="Odstavecseseznamem"/>
        <w:spacing w:after="0"/>
        <w:ind w:left="0"/>
        <w:jc w:val="both"/>
        <w:rPr>
          <w:b/>
          <w:color w:val="404040" w:themeColor="text1" w:themeTint="BF"/>
          <w:lang w:eastAsia="cs-CZ"/>
        </w:rPr>
      </w:pPr>
      <w:r w:rsidRPr="005C1434">
        <w:rPr>
          <w:b/>
          <w:color w:val="404040" w:themeColor="text1" w:themeTint="BF"/>
          <w:lang w:eastAsia="cs-CZ"/>
        </w:rPr>
        <w:lastRenderedPageBreak/>
        <w:t xml:space="preserve">Tato připomínka je zásadní. </w:t>
      </w:r>
    </w:p>
    <w:p w14:paraId="1D49BB94" w14:textId="77777777" w:rsidR="00BC551F" w:rsidRPr="001D1064" w:rsidRDefault="00BC551F" w:rsidP="008B34BA">
      <w:pPr>
        <w:pStyle w:val="Odstavecseseznamem"/>
        <w:spacing w:after="0"/>
        <w:ind w:left="0"/>
        <w:jc w:val="both"/>
        <w:rPr>
          <w:b/>
          <w:color w:val="404040" w:themeColor="text1" w:themeTint="BF"/>
          <w:lang w:eastAsia="cs-CZ"/>
        </w:rPr>
      </w:pPr>
    </w:p>
    <w:p w14:paraId="373873F2" w14:textId="36A011BE" w:rsidR="00080664" w:rsidRPr="00080664" w:rsidRDefault="00080664" w:rsidP="00080664">
      <w:pPr>
        <w:pStyle w:val="Odstavecseseznamem"/>
        <w:numPr>
          <w:ilvl w:val="0"/>
          <w:numId w:val="31"/>
        </w:numPr>
        <w:spacing w:after="0"/>
        <w:jc w:val="both"/>
        <w:rPr>
          <w:b/>
          <w:color w:val="404040" w:themeColor="text1" w:themeTint="BF"/>
          <w:u w:val="single"/>
          <w:lang w:eastAsia="cs-CZ"/>
        </w:rPr>
      </w:pPr>
      <w:r>
        <w:rPr>
          <w:b/>
          <w:color w:val="404040" w:themeColor="text1" w:themeTint="BF"/>
          <w:u w:val="single"/>
          <w:lang w:eastAsia="cs-CZ"/>
        </w:rPr>
        <w:t>K § 1</w:t>
      </w:r>
      <w:r w:rsidR="00C86799">
        <w:rPr>
          <w:b/>
          <w:color w:val="404040" w:themeColor="text1" w:themeTint="BF"/>
          <w:u w:val="single"/>
          <w:lang w:eastAsia="cs-CZ"/>
        </w:rPr>
        <w:t>8</w:t>
      </w:r>
      <w:r>
        <w:rPr>
          <w:b/>
          <w:color w:val="404040" w:themeColor="text1" w:themeTint="BF"/>
          <w:u w:val="single"/>
          <w:lang w:eastAsia="cs-CZ"/>
        </w:rPr>
        <w:t xml:space="preserve"> odst. 1</w:t>
      </w:r>
      <w:r w:rsidRPr="001969ED">
        <w:rPr>
          <w:bCs/>
          <w:color w:val="404040" w:themeColor="text1" w:themeTint="BF"/>
          <w:lang w:eastAsia="cs-CZ"/>
        </w:rPr>
        <w:t xml:space="preserve"> </w:t>
      </w:r>
    </w:p>
    <w:p w14:paraId="771B47B3" w14:textId="0A81F8F5" w:rsidR="00080664" w:rsidRDefault="00080664" w:rsidP="00080664">
      <w:pPr>
        <w:pStyle w:val="Odstavecseseznamem"/>
        <w:spacing w:after="120"/>
        <w:ind w:left="0"/>
        <w:contextualSpacing w:val="0"/>
        <w:jc w:val="both"/>
        <w:rPr>
          <w:b/>
          <w:color w:val="404040" w:themeColor="text1" w:themeTint="BF"/>
          <w:u w:val="single"/>
          <w:lang w:eastAsia="cs-CZ"/>
        </w:rPr>
      </w:pPr>
      <w:r w:rsidRPr="001969ED">
        <w:rPr>
          <w:bCs/>
          <w:color w:val="404040" w:themeColor="text1" w:themeTint="BF"/>
          <w:lang w:eastAsia="cs-CZ"/>
        </w:rPr>
        <w:t>Informace o zaplombování (a i o provedení vkladu) má být zachována elektronickou formou.</w:t>
      </w:r>
    </w:p>
    <w:p w14:paraId="157D3C95" w14:textId="77777777" w:rsidR="00080664" w:rsidRDefault="00080664" w:rsidP="00080664">
      <w:pPr>
        <w:pStyle w:val="Odstavecseseznamem"/>
        <w:spacing w:after="120"/>
        <w:ind w:left="0"/>
        <w:contextualSpacing w:val="0"/>
        <w:jc w:val="both"/>
        <w:rPr>
          <w:b/>
          <w:color w:val="404040" w:themeColor="text1" w:themeTint="BF"/>
          <w:lang w:eastAsia="cs-CZ"/>
        </w:rPr>
      </w:pPr>
      <w:r w:rsidRPr="00C56EBC">
        <w:rPr>
          <w:b/>
          <w:color w:val="404040" w:themeColor="text1" w:themeTint="BF"/>
          <w:lang w:eastAsia="cs-CZ"/>
        </w:rPr>
        <w:t>Odůvodnění:</w:t>
      </w:r>
    </w:p>
    <w:p w14:paraId="6BFB3D6C" w14:textId="77777777" w:rsidR="00080664" w:rsidRDefault="00080664" w:rsidP="00080664">
      <w:pPr>
        <w:pStyle w:val="Odstavecseseznamem"/>
        <w:spacing w:after="120"/>
        <w:ind w:left="0"/>
        <w:contextualSpacing w:val="0"/>
        <w:jc w:val="both"/>
        <w:rPr>
          <w:color w:val="404040" w:themeColor="text1" w:themeTint="BF"/>
          <w:lang w:eastAsia="cs-CZ"/>
        </w:rPr>
      </w:pPr>
      <w:r w:rsidRPr="00244F61">
        <w:rPr>
          <w:color w:val="404040" w:themeColor="text1" w:themeTint="BF"/>
          <w:lang w:eastAsia="cs-CZ"/>
        </w:rPr>
        <w:t xml:space="preserve">Navrhované zrušení zasílání informací o zaplombování </w:t>
      </w:r>
      <w:r>
        <w:rPr>
          <w:color w:val="404040" w:themeColor="text1" w:themeTint="BF"/>
          <w:lang w:eastAsia="cs-CZ"/>
        </w:rPr>
        <w:t xml:space="preserve">bez adekvátní ekonomicky srovnatelné náhrady pro velké organizace </w:t>
      </w:r>
      <w:r w:rsidRPr="00244F61">
        <w:rPr>
          <w:color w:val="404040" w:themeColor="text1" w:themeTint="BF"/>
          <w:lang w:eastAsia="cs-CZ"/>
        </w:rPr>
        <w:t>považujeme za problematické z hlediska praktického fungování větších organizací. Elektronické informování o plombě</w:t>
      </w:r>
      <w:r>
        <w:rPr>
          <w:color w:val="404040" w:themeColor="text1" w:themeTint="BF"/>
          <w:lang w:eastAsia="cs-CZ"/>
        </w:rPr>
        <w:t xml:space="preserve"> datovou schránkou</w:t>
      </w:r>
      <w:r w:rsidRPr="00244F61">
        <w:rPr>
          <w:color w:val="404040" w:themeColor="text1" w:themeTint="BF"/>
          <w:lang w:eastAsia="cs-CZ"/>
        </w:rPr>
        <w:t xml:space="preserve"> je dlouhodobě využíváno a </w:t>
      </w:r>
      <w:r>
        <w:rPr>
          <w:color w:val="404040" w:themeColor="text1" w:themeTint="BF"/>
          <w:lang w:eastAsia="cs-CZ"/>
        </w:rPr>
        <w:t>jsou</w:t>
      </w:r>
      <w:r w:rsidRPr="00244F61">
        <w:rPr>
          <w:color w:val="404040" w:themeColor="text1" w:themeTint="BF"/>
          <w:lang w:eastAsia="cs-CZ"/>
        </w:rPr>
        <w:t xml:space="preserve"> na něj </w:t>
      </w:r>
      <w:r>
        <w:rPr>
          <w:color w:val="404040" w:themeColor="text1" w:themeTint="BF"/>
          <w:lang w:eastAsia="cs-CZ"/>
        </w:rPr>
        <w:t xml:space="preserve">zpravidla </w:t>
      </w:r>
      <w:r w:rsidRPr="00244F61">
        <w:rPr>
          <w:color w:val="404040" w:themeColor="text1" w:themeTint="BF"/>
          <w:lang w:eastAsia="cs-CZ"/>
        </w:rPr>
        <w:t>nastavené interní procesy, včetně automatizovaného zpracování těchto informací</w:t>
      </w:r>
      <w:r>
        <w:rPr>
          <w:color w:val="404040" w:themeColor="text1" w:themeTint="BF"/>
          <w:lang w:eastAsia="cs-CZ"/>
        </w:rPr>
        <w:t xml:space="preserve"> (návaznost na </w:t>
      </w:r>
      <w:proofErr w:type="gramStart"/>
      <w:r>
        <w:rPr>
          <w:color w:val="404040" w:themeColor="text1" w:themeTint="BF"/>
          <w:lang w:eastAsia="cs-CZ"/>
        </w:rPr>
        <w:t>DPH,</w:t>
      </w:r>
      <w:proofErr w:type="gramEnd"/>
      <w:r>
        <w:rPr>
          <w:color w:val="404040" w:themeColor="text1" w:themeTint="BF"/>
          <w:lang w:eastAsia="cs-CZ"/>
        </w:rPr>
        <w:t xml:space="preserve"> atp.)</w:t>
      </w:r>
      <w:r w:rsidRPr="00244F61">
        <w:rPr>
          <w:color w:val="404040" w:themeColor="text1" w:themeTint="BF"/>
          <w:lang w:eastAsia="cs-CZ"/>
        </w:rPr>
        <w:t>. Změna tohoto systému by vyvolala potřebu úprav IT infrastruktury, což představuje nejen technickou, ale i</w:t>
      </w:r>
      <w:r>
        <w:rPr>
          <w:color w:val="404040" w:themeColor="text1" w:themeTint="BF"/>
          <w:lang w:eastAsia="cs-CZ"/>
        </w:rPr>
        <w:t> </w:t>
      </w:r>
      <w:r w:rsidRPr="00244F61">
        <w:rPr>
          <w:color w:val="404040" w:themeColor="text1" w:themeTint="BF"/>
          <w:lang w:eastAsia="cs-CZ"/>
        </w:rPr>
        <w:t>finanční zátěž. Tato změna není v návrhu dostatečně odůvodněna z hlediska dopadů na praxi větších subjektů.</w:t>
      </w:r>
      <w:r>
        <w:rPr>
          <w:color w:val="404040" w:themeColor="text1" w:themeTint="BF"/>
          <w:lang w:eastAsia="cs-CZ"/>
        </w:rPr>
        <w:t xml:space="preserve"> V případě, kdy návrh na vklad podává protistrana, je tato informace klíčová i pro sledování plnění smluvní povinnosti.</w:t>
      </w:r>
    </w:p>
    <w:p w14:paraId="211CA10D" w14:textId="2B36AF99" w:rsidR="00080664" w:rsidRPr="00244F61" w:rsidRDefault="00080664" w:rsidP="00080664">
      <w:pPr>
        <w:pStyle w:val="Odstavecseseznamem"/>
        <w:spacing w:after="120"/>
        <w:ind w:left="0"/>
        <w:contextualSpacing w:val="0"/>
        <w:jc w:val="both"/>
        <w:rPr>
          <w:color w:val="404040" w:themeColor="text1" w:themeTint="BF"/>
          <w:lang w:eastAsia="cs-CZ"/>
        </w:rPr>
      </w:pPr>
      <w:r w:rsidRPr="00244F61">
        <w:rPr>
          <w:color w:val="404040" w:themeColor="text1" w:themeTint="BF"/>
          <w:lang w:eastAsia="cs-CZ"/>
        </w:rPr>
        <w:t xml:space="preserve">Zároveň není z návrhu zřejmé, zda bude zachováno informování o provedení vkladu, které je z hlediska právní jistoty vlastníků a dalších oprávněných osob zásadní. Informace o tom, že vklad byl skutečně proveden, má zásadní význam pro právní účinky zápisu a pro další navazující </w:t>
      </w:r>
      <w:r>
        <w:rPr>
          <w:color w:val="404040" w:themeColor="text1" w:themeTint="BF"/>
          <w:lang w:eastAsia="cs-CZ"/>
        </w:rPr>
        <w:t>úkony související s převodem majetku</w:t>
      </w:r>
      <w:r w:rsidRPr="00244F61">
        <w:rPr>
          <w:color w:val="404040" w:themeColor="text1" w:themeTint="BF"/>
          <w:lang w:eastAsia="cs-CZ"/>
        </w:rPr>
        <w:t xml:space="preserve">. Požadujeme, aby tato forma informování byla výslovně zachována a upravena tak, aby byla dostupná </w:t>
      </w:r>
      <w:r>
        <w:rPr>
          <w:color w:val="404040" w:themeColor="text1" w:themeTint="BF"/>
          <w:lang w:eastAsia="cs-CZ"/>
        </w:rPr>
        <w:t>alespoň</w:t>
      </w:r>
      <w:r w:rsidRPr="00244F61">
        <w:rPr>
          <w:color w:val="404040" w:themeColor="text1" w:themeTint="BF"/>
          <w:lang w:eastAsia="cs-CZ"/>
        </w:rPr>
        <w:t xml:space="preserve"> elektronicky.</w:t>
      </w:r>
    </w:p>
    <w:p w14:paraId="611B1253" w14:textId="4255EFBE" w:rsidR="00080664" w:rsidRDefault="00080664" w:rsidP="00C8539E">
      <w:pPr>
        <w:pStyle w:val="Odstavecseseznamem"/>
        <w:spacing w:after="120"/>
        <w:ind w:left="0"/>
        <w:contextualSpacing w:val="0"/>
        <w:jc w:val="both"/>
        <w:rPr>
          <w:b/>
          <w:bCs/>
          <w:color w:val="404040" w:themeColor="text1" w:themeTint="BF"/>
          <w:lang w:eastAsia="cs-CZ"/>
        </w:rPr>
      </w:pPr>
      <w:r w:rsidRPr="14565BFB">
        <w:rPr>
          <w:b/>
          <w:bCs/>
          <w:color w:val="404040" w:themeColor="text1" w:themeTint="BF"/>
          <w:lang w:eastAsia="cs-CZ"/>
        </w:rPr>
        <w:t>Tato připomínka je zásadní.</w:t>
      </w:r>
    </w:p>
    <w:p w14:paraId="37636A6E" w14:textId="729E1427" w:rsidR="00476BB1" w:rsidRDefault="00476BB1" w:rsidP="0095228B">
      <w:pPr>
        <w:pStyle w:val="Odstavecseseznamem"/>
        <w:numPr>
          <w:ilvl w:val="0"/>
          <w:numId w:val="31"/>
        </w:numPr>
        <w:spacing w:after="0"/>
        <w:jc w:val="both"/>
        <w:rPr>
          <w:b/>
          <w:color w:val="404040" w:themeColor="text1" w:themeTint="BF"/>
          <w:u w:val="single"/>
          <w:lang w:eastAsia="cs-CZ"/>
        </w:rPr>
      </w:pPr>
      <w:r>
        <w:rPr>
          <w:b/>
          <w:color w:val="404040" w:themeColor="text1" w:themeTint="BF"/>
          <w:u w:val="single"/>
          <w:lang w:eastAsia="cs-CZ"/>
        </w:rPr>
        <w:t xml:space="preserve"> </w:t>
      </w:r>
      <w:r w:rsidR="00BC3BF0">
        <w:rPr>
          <w:b/>
          <w:color w:val="404040" w:themeColor="text1" w:themeTint="BF"/>
          <w:u w:val="single"/>
          <w:lang w:eastAsia="cs-CZ"/>
        </w:rPr>
        <w:t>K § 29 odst. 1</w:t>
      </w:r>
    </w:p>
    <w:p w14:paraId="06EC470B" w14:textId="102B744A" w:rsidR="007F5F51" w:rsidRDefault="00C30F89" w:rsidP="007F5F51">
      <w:pPr>
        <w:pStyle w:val="Odstavecseseznamem"/>
        <w:spacing w:after="0"/>
        <w:ind w:left="0"/>
        <w:jc w:val="both"/>
        <w:rPr>
          <w:b/>
          <w:color w:val="404040" w:themeColor="text1" w:themeTint="BF"/>
          <w:lang w:eastAsia="cs-CZ"/>
        </w:rPr>
      </w:pPr>
      <w:r w:rsidRPr="00C30F89">
        <w:rPr>
          <w:b/>
          <w:color w:val="404040" w:themeColor="text1" w:themeTint="BF"/>
          <w:lang w:eastAsia="cs-CZ"/>
        </w:rPr>
        <w:t>Požadujeme upravit následovně:</w:t>
      </w:r>
    </w:p>
    <w:p w14:paraId="3E742D65" w14:textId="77777777" w:rsidR="00BE53E4" w:rsidRDefault="00BE53E4" w:rsidP="00BE53E4">
      <w:pPr>
        <w:pStyle w:val="Odstavecseseznamem"/>
        <w:spacing w:after="0"/>
        <w:ind w:left="0"/>
        <w:jc w:val="both"/>
        <w:rPr>
          <w:b/>
          <w:color w:val="404040" w:themeColor="text1" w:themeTint="BF"/>
          <w:lang w:eastAsia="cs-CZ"/>
        </w:rPr>
      </w:pPr>
      <w:r w:rsidRPr="00BE53E4">
        <w:rPr>
          <w:color w:val="404040" w:themeColor="text1" w:themeTint="BF"/>
          <w:lang w:eastAsia="cs-CZ"/>
        </w:rPr>
        <w:t xml:space="preserve">Změnu hranice katastrálního území provádí katastrální úřad na základě návrhu obce nebo vlastníka změnou dotčeného pozemku. Změnu provádí katastrální úřad i bez návrhu, je-li to potřebné pro správu katastru. </w:t>
      </w:r>
      <w:r w:rsidRPr="00BE53E4">
        <w:rPr>
          <w:b/>
          <w:color w:val="404040" w:themeColor="text1" w:themeTint="BF"/>
          <w:lang w:eastAsia="cs-CZ"/>
        </w:rPr>
        <w:t>Katastrální úřad provedení změny oznámí vlastníkovi dotčeného pozemku a oprávněnému z věcných práv k dotčenému pozemku.</w:t>
      </w:r>
    </w:p>
    <w:p w14:paraId="0EBF1C7D" w14:textId="77777777" w:rsidR="004F0B0A" w:rsidRDefault="004F0B0A" w:rsidP="00BE53E4">
      <w:pPr>
        <w:pStyle w:val="Odstavecseseznamem"/>
        <w:spacing w:after="0"/>
        <w:ind w:left="0"/>
        <w:jc w:val="both"/>
        <w:rPr>
          <w:b/>
          <w:color w:val="404040" w:themeColor="text1" w:themeTint="BF"/>
          <w:lang w:eastAsia="cs-CZ"/>
        </w:rPr>
      </w:pPr>
    </w:p>
    <w:p w14:paraId="30647F9A" w14:textId="436926DD" w:rsidR="004F0B0A" w:rsidRDefault="004F0B0A" w:rsidP="00BE53E4">
      <w:pPr>
        <w:pStyle w:val="Odstavecseseznamem"/>
        <w:spacing w:after="0"/>
        <w:ind w:left="0"/>
        <w:jc w:val="both"/>
        <w:rPr>
          <w:b/>
          <w:color w:val="404040" w:themeColor="text1" w:themeTint="BF"/>
          <w:lang w:eastAsia="cs-CZ"/>
        </w:rPr>
      </w:pPr>
      <w:r>
        <w:rPr>
          <w:b/>
          <w:color w:val="404040" w:themeColor="text1" w:themeTint="BF"/>
          <w:lang w:eastAsia="cs-CZ"/>
        </w:rPr>
        <w:t>Odůvodnění:</w:t>
      </w:r>
    </w:p>
    <w:p w14:paraId="2264C1F1" w14:textId="77777777" w:rsidR="00886BB8" w:rsidRPr="00886BB8" w:rsidRDefault="00886BB8" w:rsidP="00886BB8">
      <w:pPr>
        <w:pStyle w:val="Odstavecseseznamem"/>
        <w:spacing w:after="0"/>
        <w:ind w:left="0"/>
        <w:jc w:val="both"/>
        <w:rPr>
          <w:color w:val="404040" w:themeColor="text1" w:themeTint="BF"/>
          <w:lang w:eastAsia="cs-CZ"/>
        </w:rPr>
      </w:pPr>
      <w:r w:rsidRPr="00886BB8">
        <w:rPr>
          <w:color w:val="404040" w:themeColor="text1" w:themeTint="BF"/>
          <w:lang w:eastAsia="cs-CZ"/>
        </w:rPr>
        <w:t>Při změně hranic katastrálních území dochází k výmazu věcných práv, aniž by se taková skutečnost oprávněným oznamovala. Vzhledem k tomu, že některé subjekty mají povinnost zřizovat věcná břemena ze zákona (srov. např. ustanovení § 25 odst. 4 a § 23 odst. 2 energetického zákona), musejí být o těchto změnách informovány, aby mohly dostát zákonné povinnosti a věcná břemena znovu zřídit.</w:t>
      </w:r>
    </w:p>
    <w:p w14:paraId="158B7719" w14:textId="77777777" w:rsidR="00886BB8" w:rsidRDefault="00886BB8" w:rsidP="00BE53E4">
      <w:pPr>
        <w:pStyle w:val="Odstavecseseznamem"/>
        <w:spacing w:after="0"/>
        <w:ind w:left="0"/>
        <w:jc w:val="both"/>
        <w:rPr>
          <w:b/>
          <w:color w:val="404040" w:themeColor="text1" w:themeTint="BF"/>
          <w:lang w:eastAsia="cs-CZ"/>
        </w:rPr>
      </w:pPr>
    </w:p>
    <w:p w14:paraId="4D21153B" w14:textId="21F13678" w:rsidR="00C30F89" w:rsidRPr="00584295" w:rsidRDefault="00584295" w:rsidP="00584295">
      <w:pPr>
        <w:pStyle w:val="Odstavecseseznamem"/>
        <w:spacing w:after="120"/>
        <w:ind w:left="0"/>
        <w:contextualSpacing w:val="0"/>
        <w:jc w:val="both"/>
        <w:rPr>
          <w:b/>
          <w:bCs/>
          <w:color w:val="404040" w:themeColor="text1" w:themeTint="BF"/>
          <w:lang w:eastAsia="cs-CZ"/>
        </w:rPr>
      </w:pPr>
      <w:r w:rsidRPr="14565BFB">
        <w:rPr>
          <w:b/>
          <w:bCs/>
          <w:color w:val="404040" w:themeColor="text1" w:themeTint="BF"/>
          <w:lang w:eastAsia="cs-CZ"/>
        </w:rPr>
        <w:t>Tato připomínka je zásadní.</w:t>
      </w:r>
    </w:p>
    <w:p w14:paraId="17752DBE" w14:textId="56E901CF" w:rsidR="00486D45" w:rsidRDefault="00EA7F3C" w:rsidP="0095228B">
      <w:pPr>
        <w:pStyle w:val="Odstavecseseznamem"/>
        <w:numPr>
          <w:ilvl w:val="0"/>
          <w:numId w:val="31"/>
        </w:numPr>
        <w:spacing w:after="0"/>
        <w:jc w:val="both"/>
        <w:rPr>
          <w:b/>
          <w:color w:val="404040" w:themeColor="text1" w:themeTint="BF"/>
          <w:u w:val="single"/>
          <w:lang w:eastAsia="cs-CZ"/>
        </w:rPr>
      </w:pPr>
      <w:r>
        <w:rPr>
          <w:b/>
          <w:color w:val="404040" w:themeColor="text1" w:themeTint="BF"/>
          <w:u w:val="single"/>
          <w:lang w:eastAsia="cs-CZ"/>
        </w:rPr>
        <w:t>K § 36 odst. 2</w:t>
      </w:r>
    </w:p>
    <w:p w14:paraId="14D7768D" w14:textId="7A075C97" w:rsidR="00D75EF9" w:rsidRDefault="00944D02" w:rsidP="00EA7F3C">
      <w:pPr>
        <w:pStyle w:val="Odstavecseseznamem"/>
        <w:spacing w:after="0"/>
        <w:ind w:left="0"/>
        <w:jc w:val="both"/>
        <w:rPr>
          <w:b/>
          <w:color w:val="404040" w:themeColor="text1" w:themeTint="BF"/>
          <w:lang w:eastAsia="cs-CZ"/>
        </w:rPr>
      </w:pPr>
      <w:r w:rsidRPr="00944D02">
        <w:rPr>
          <w:b/>
          <w:color w:val="404040" w:themeColor="text1" w:themeTint="BF"/>
          <w:lang w:eastAsia="cs-CZ"/>
        </w:rPr>
        <w:t>Navrhuje</w:t>
      </w:r>
      <w:r w:rsidR="00B84CBE">
        <w:rPr>
          <w:b/>
          <w:color w:val="404040" w:themeColor="text1" w:themeTint="BF"/>
          <w:lang w:eastAsia="cs-CZ"/>
        </w:rPr>
        <w:t>me</w:t>
      </w:r>
      <w:r w:rsidR="00A06D19">
        <w:rPr>
          <w:b/>
          <w:color w:val="404040" w:themeColor="text1" w:themeTint="BF"/>
          <w:lang w:eastAsia="cs-CZ"/>
        </w:rPr>
        <w:t xml:space="preserve"> </w:t>
      </w:r>
      <w:r w:rsidRPr="00944D02">
        <w:rPr>
          <w:b/>
          <w:color w:val="404040" w:themeColor="text1" w:themeTint="BF"/>
          <w:lang w:eastAsia="cs-CZ"/>
        </w:rPr>
        <w:t>zrušit text odstavce 2.</w:t>
      </w:r>
    </w:p>
    <w:p w14:paraId="7E9F312E" w14:textId="77777777" w:rsidR="007B140C" w:rsidRDefault="007B140C" w:rsidP="00EA7F3C">
      <w:pPr>
        <w:pStyle w:val="Odstavecseseznamem"/>
        <w:spacing w:after="0"/>
        <w:ind w:left="0"/>
        <w:jc w:val="both"/>
        <w:rPr>
          <w:b/>
          <w:color w:val="404040" w:themeColor="text1" w:themeTint="BF"/>
          <w:lang w:eastAsia="cs-CZ"/>
        </w:rPr>
      </w:pPr>
    </w:p>
    <w:p w14:paraId="460E6337" w14:textId="77777777" w:rsidR="007B140C" w:rsidRDefault="007B140C" w:rsidP="007B140C">
      <w:pPr>
        <w:jc w:val="both"/>
        <w:rPr>
          <w:bCs/>
          <w:color w:val="404040" w:themeColor="text1" w:themeTint="BF"/>
          <w:lang w:eastAsia="cs-CZ"/>
        </w:rPr>
      </w:pPr>
      <w:r w:rsidRPr="0095228B">
        <w:rPr>
          <w:bCs/>
          <w:color w:val="404040" w:themeColor="text1" w:themeTint="BF"/>
          <w:lang w:eastAsia="cs-CZ"/>
        </w:rPr>
        <w:t xml:space="preserve">Návrh </w:t>
      </w:r>
      <w:r>
        <w:rPr>
          <w:bCs/>
          <w:color w:val="404040" w:themeColor="text1" w:themeTint="BF"/>
          <w:lang w:eastAsia="cs-CZ"/>
        </w:rPr>
        <w:t xml:space="preserve">neopodstatněně a zásadním způsobem </w:t>
      </w:r>
      <w:r w:rsidRPr="0095228B">
        <w:rPr>
          <w:bCs/>
          <w:color w:val="404040" w:themeColor="text1" w:themeTint="BF"/>
          <w:lang w:eastAsia="cs-CZ"/>
        </w:rPr>
        <w:t>oslabuje pozici vlastníka ve vztahu k opravě chyb katastru.</w:t>
      </w:r>
      <w:r>
        <w:rPr>
          <w:bCs/>
          <w:color w:val="404040" w:themeColor="text1" w:themeTint="BF"/>
          <w:lang w:eastAsia="cs-CZ"/>
        </w:rPr>
        <w:t xml:space="preserve"> Z pohledu státní organizace je neakceptovatelný.</w:t>
      </w:r>
    </w:p>
    <w:p w14:paraId="3C89E687" w14:textId="447873AF" w:rsidR="007B140C" w:rsidRDefault="00692757" w:rsidP="00EA7F3C">
      <w:pPr>
        <w:pStyle w:val="Odstavecseseznamem"/>
        <w:spacing w:after="0"/>
        <w:ind w:left="0"/>
        <w:jc w:val="both"/>
        <w:rPr>
          <w:b/>
          <w:color w:val="404040" w:themeColor="text1" w:themeTint="BF"/>
          <w:lang w:eastAsia="cs-CZ"/>
        </w:rPr>
      </w:pPr>
      <w:r>
        <w:rPr>
          <w:b/>
          <w:color w:val="404040" w:themeColor="text1" w:themeTint="BF"/>
          <w:lang w:eastAsia="cs-CZ"/>
        </w:rPr>
        <w:t>Alternativní varianta:</w:t>
      </w:r>
    </w:p>
    <w:p w14:paraId="6027DED4" w14:textId="77777777" w:rsidR="002A5F08" w:rsidRDefault="002A5F08" w:rsidP="002A5F08">
      <w:pPr>
        <w:pStyle w:val="Odstavecseseznamem"/>
        <w:spacing w:after="0"/>
        <w:ind w:left="0"/>
        <w:jc w:val="both"/>
        <w:rPr>
          <w:color w:val="404040" w:themeColor="text1" w:themeTint="BF"/>
          <w:lang w:eastAsia="cs-CZ"/>
        </w:rPr>
      </w:pPr>
      <w:r w:rsidRPr="002A5F08">
        <w:rPr>
          <w:color w:val="404040" w:themeColor="text1" w:themeTint="BF"/>
          <w:lang w:eastAsia="cs-CZ"/>
        </w:rPr>
        <w:lastRenderedPageBreak/>
        <w:t xml:space="preserve">Návrh na opravu chybného údaje katastru vzniklého zřejmým omylem při vedení a obnově katastru není přípustný ve věci, ve které mohl vlastník nebo jeho právní předchůdce podat námitku proti obsahu obnoveného katastrálního operátu </w:t>
      </w:r>
      <w:r w:rsidRPr="002A5F08">
        <w:rPr>
          <w:b/>
          <w:color w:val="404040" w:themeColor="text1" w:themeTint="BF"/>
          <w:lang w:eastAsia="cs-CZ"/>
        </w:rPr>
        <w:t>a od obnovení katastrálního operátu uběhlo méně než 12 měsíců</w:t>
      </w:r>
      <w:r w:rsidRPr="002A5F08">
        <w:rPr>
          <w:color w:val="404040" w:themeColor="text1" w:themeTint="BF"/>
          <w:lang w:eastAsia="cs-CZ"/>
        </w:rPr>
        <w:t>. O tom, že podaný návrh je nepřípustný, katastrální úřad navrhovatele vyrozumí.</w:t>
      </w:r>
    </w:p>
    <w:p w14:paraId="15949FE8" w14:textId="77777777" w:rsidR="00557172" w:rsidRDefault="00557172" w:rsidP="002A5F08">
      <w:pPr>
        <w:pStyle w:val="Odstavecseseznamem"/>
        <w:spacing w:after="0"/>
        <w:ind w:left="0"/>
        <w:jc w:val="both"/>
        <w:rPr>
          <w:color w:val="404040" w:themeColor="text1" w:themeTint="BF"/>
          <w:lang w:eastAsia="cs-CZ"/>
        </w:rPr>
      </w:pPr>
    </w:p>
    <w:p w14:paraId="54200AE5" w14:textId="1CA43F8F" w:rsidR="00557172" w:rsidRPr="008224AB" w:rsidRDefault="00557172" w:rsidP="002A5F08">
      <w:pPr>
        <w:pStyle w:val="Odstavecseseznamem"/>
        <w:spacing w:after="0"/>
        <w:ind w:left="0"/>
        <w:jc w:val="both"/>
        <w:rPr>
          <w:b/>
          <w:color w:val="404040" w:themeColor="text1" w:themeTint="BF"/>
          <w:lang w:eastAsia="cs-CZ"/>
        </w:rPr>
      </w:pPr>
      <w:r w:rsidRPr="008224AB">
        <w:rPr>
          <w:b/>
          <w:color w:val="404040" w:themeColor="text1" w:themeTint="BF"/>
          <w:lang w:eastAsia="cs-CZ"/>
        </w:rPr>
        <w:t>Odůvodnění:</w:t>
      </w:r>
    </w:p>
    <w:p w14:paraId="3583FC8B" w14:textId="77777777" w:rsidR="007665C8" w:rsidRPr="008224AB" w:rsidRDefault="007665C8" w:rsidP="007665C8">
      <w:pPr>
        <w:pStyle w:val="Odstavecseseznamem"/>
        <w:spacing w:after="0"/>
        <w:ind w:left="0"/>
        <w:jc w:val="both"/>
        <w:rPr>
          <w:bCs/>
          <w:color w:val="404040" w:themeColor="text1" w:themeTint="BF"/>
          <w:lang w:eastAsia="cs-CZ"/>
        </w:rPr>
      </w:pPr>
      <w:r w:rsidRPr="008224AB">
        <w:rPr>
          <w:bCs/>
          <w:color w:val="404040" w:themeColor="text1" w:themeTint="BF"/>
          <w:lang w:eastAsia="cs-CZ"/>
        </w:rPr>
        <w:t xml:space="preserve">Zpřísnění podmínek opravy chybných údajů v katastru je nutné vážit. Úplné znemožnění namítat obsah obnoveného katastrálního operátu (i v případě právních nástupců) bez dalšího je zjevně nepřiměřené. Dodatečná časová lhůta pro kontrolu obsahu a správnosti obnoveného katastrálního operátu a její případné namítání je tak na místě. Lhůta jednoho roku je pak přiměřená i pro případné komplikované situace spojené zejména s právním nástupnictvím (dědictví, řešení úpadku konkursem apod.). </w:t>
      </w:r>
    </w:p>
    <w:p w14:paraId="10AB137B" w14:textId="77777777" w:rsidR="007665C8" w:rsidRPr="008224AB" w:rsidRDefault="007665C8" w:rsidP="007665C8">
      <w:pPr>
        <w:pStyle w:val="Odstavecseseznamem"/>
        <w:spacing w:after="0"/>
        <w:ind w:left="0"/>
        <w:jc w:val="both"/>
        <w:rPr>
          <w:bCs/>
          <w:color w:val="404040" w:themeColor="text1" w:themeTint="BF"/>
          <w:lang w:eastAsia="cs-CZ"/>
        </w:rPr>
      </w:pPr>
    </w:p>
    <w:p w14:paraId="0DB0CF74" w14:textId="5B31150E" w:rsidR="00EA7F3C" w:rsidRPr="008E5A64" w:rsidRDefault="007665C8" w:rsidP="008E5A64">
      <w:pPr>
        <w:pStyle w:val="Odstavecseseznamem"/>
        <w:spacing w:after="120"/>
        <w:ind w:left="0"/>
        <w:contextualSpacing w:val="0"/>
        <w:jc w:val="both"/>
        <w:rPr>
          <w:b/>
          <w:bCs/>
          <w:color w:val="404040" w:themeColor="text1" w:themeTint="BF"/>
          <w:lang w:eastAsia="cs-CZ"/>
        </w:rPr>
      </w:pPr>
      <w:r w:rsidRPr="008224AB">
        <w:rPr>
          <w:b/>
          <w:bCs/>
          <w:color w:val="404040" w:themeColor="text1" w:themeTint="BF"/>
          <w:lang w:eastAsia="cs-CZ"/>
        </w:rPr>
        <w:t>Tato připomínka je zásadní.</w:t>
      </w:r>
    </w:p>
    <w:p w14:paraId="438679E3" w14:textId="76DC0A06" w:rsidR="0095228B" w:rsidRPr="00DB24B5" w:rsidRDefault="00516921" w:rsidP="0095228B">
      <w:pPr>
        <w:pStyle w:val="Odstavecseseznamem"/>
        <w:numPr>
          <w:ilvl w:val="0"/>
          <w:numId w:val="31"/>
        </w:numPr>
        <w:spacing w:after="0"/>
        <w:jc w:val="both"/>
        <w:rPr>
          <w:rFonts w:cstheme="minorHAnsi"/>
          <w:b/>
          <w:color w:val="404040" w:themeColor="text1" w:themeTint="BF"/>
          <w:u w:val="single"/>
          <w:lang w:eastAsia="cs-CZ"/>
        </w:rPr>
      </w:pPr>
      <w:r>
        <w:rPr>
          <w:rFonts w:cstheme="minorHAnsi"/>
          <w:b/>
          <w:color w:val="404040" w:themeColor="text1" w:themeTint="BF"/>
          <w:u w:val="single"/>
          <w:lang w:eastAsia="cs-CZ"/>
        </w:rPr>
        <w:t xml:space="preserve"> </w:t>
      </w:r>
      <w:r w:rsidR="0095228B" w:rsidRPr="00DB24B5">
        <w:rPr>
          <w:rFonts w:cstheme="minorHAnsi"/>
          <w:b/>
          <w:color w:val="404040" w:themeColor="text1" w:themeTint="BF"/>
          <w:u w:val="single"/>
          <w:lang w:eastAsia="cs-CZ"/>
        </w:rPr>
        <w:t>K § 42 odst. 1, 7:</w:t>
      </w:r>
      <w:r w:rsidR="0095228B" w:rsidRPr="00DB24B5">
        <w:rPr>
          <w:rFonts w:cstheme="minorHAnsi"/>
          <w:bCs/>
          <w:color w:val="404040" w:themeColor="text1" w:themeTint="BF"/>
          <w:lang w:eastAsia="cs-CZ"/>
        </w:rPr>
        <w:t xml:space="preserve"> </w:t>
      </w:r>
    </w:p>
    <w:p w14:paraId="7FA9CD8C" w14:textId="74B41E90" w:rsidR="0095228B" w:rsidRPr="008224AB" w:rsidRDefault="0095228B" w:rsidP="008224AB">
      <w:pPr>
        <w:pStyle w:val="Odstavecseseznamem"/>
        <w:ind w:left="0"/>
        <w:jc w:val="both"/>
        <w:rPr>
          <w:rFonts w:cstheme="minorHAnsi"/>
          <w:b/>
          <w:bCs/>
          <w:color w:val="404040" w:themeColor="text1" w:themeTint="BF"/>
        </w:rPr>
      </w:pPr>
      <w:r w:rsidRPr="008224AB">
        <w:rPr>
          <w:rFonts w:cstheme="minorHAnsi"/>
          <w:color w:val="404040" w:themeColor="text1" w:themeTint="BF"/>
        </w:rPr>
        <w:t xml:space="preserve">(1)    Zjišťování průběhu hranic pro obnovu katastrálního operátu novým mapováním (dále jen „zjišťování hranic“) se provádí za účasti vlastníků podle skutečného stavu v terénu. Zjišťování hranic </w:t>
      </w:r>
      <w:r w:rsidRPr="008224AB">
        <w:rPr>
          <w:rFonts w:cstheme="minorHAnsi"/>
          <w:strike/>
          <w:color w:val="404040" w:themeColor="text1" w:themeTint="BF"/>
        </w:rPr>
        <w:t>není</w:t>
      </w:r>
      <w:r w:rsidRPr="008224AB">
        <w:rPr>
          <w:rFonts w:cstheme="minorHAnsi"/>
          <w:b/>
          <w:bCs/>
          <w:color w:val="404040" w:themeColor="text1" w:themeTint="BF"/>
        </w:rPr>
        <w:t xml:space="preserve"> je </w:t>
      </w:r>
      <w:r w:rsidRPr="008224AB">
        <w:rPr>
          <w:rFonts w:cstheme="minorHAnsi"/>
          <w:color w:val="404040" w:themeColor="text1" w:themeTint="BF"/>
        </w:rPr>
        <w:t xml:space="preserve">zeměměřickou činností, </w:t>
      </w:r>
      <w:r w:rsidRPr="008224AB">
        <w:rPr>
          <w:rFonts w:cstheme="minorHAnsi"/>
          <w:strike/>
          <w:color w:val="404040" w:themeColor="text1" w:themeTint="BF"/>
        </w:rPr>
        <w:t>není</w:t>
      </w:r>
      <w:r w:rsidRPr="008224AB">
        <w:rPr>
          <w:rFonts w:cstheme="minorHAnsi"/>
          <w:b/>
          <w:bCs/>
          <w:color w:val="404040" w:themeColor="text1" w:themeTint="BF"/>
        </w:rPr>
        <w:t xml:space="preserve"> je </w:t>
      </w:r>
      <w:r w:rsidRPr="008224AB">
        <w:rPr>
          <w:rFonts w:cstheme="minorHAnsi"/>
          <w:color w:val="404040" w:themeColor="text1" w:themeTint="BF"/>
        </w:rPr>
        <w:t>předmětem kontroly podle kontrolního řádu a</w:t>
      </w:r>
      <w:r w:rsidRPr="008224AB">
        <w:rPr>
          <w:rFonts w:cstheme="minorHAnsi"/>
          <w:b/>
          <w:bCs/>
          <w:color w:val="404040" w:themeColor="text1" w:themeTint="BF"/>
        </w:rPr>
        <w:t xml:space="preserve"> </w:t>
      </w:r>
      <w:r w:rsidRPr="008224AB">
        <w:rPr>
          <w:rFonts w:cstheme="minorHAnsi"/>
          <w:strike/>
          <w:color w:val="404040" w:themeColor="text1" w:themeTint="BF"/>
        </w:rPr>
        <w:t>ne</w:t>
      </w:r>
      <w:r w:rsidRPr="008224AB">
        <w:rPr>
          <w:rFonts w:cstheme="minorHAnsi"/>
          <w:color w:val="404040" w:themeColor="text1" w:themeTint="BF"/>
        </w:rPr>
        <w:t>lze</w:t>
      </w:r>
      <w:r w:rsidRPr="008224AB">
        <w:rPr>
          <w:rFonts w:cstheme="minorHAnsi"/>
          <w:b/>
          <w:bCs/>
          <w:color w:val="404040" w:themeColor="text1" w:themeTint="BF"/>
        </w:rPr>
        <w:t xml:space="preserve"> </w:t>
      </w:r>
      <w:r w:rsidRPr="008224AB">
        <w:rPr>
          <w:rFonts w:cstheme="minorHAnsi"/>
          <w:color w:val="404040" w:themeColor="text1" w:themeTint="BF"/>
        </w:rPr>
        <w:t>jej přezkoumávat soudem ve správním soudnictví</w:t>
      </w:r>
      <w:r w:rsidRPr="008224AB">
        <w:rPr>
          <w:rFonts w:cstheme="minorHAnsi"/>
          <w:b/>
          <w:bCs/>
          <w:color w:val="404040" w:themeColor="text1" w:themeTint="BF"/>
        </w:rPr>
        <w:t>.</w:t>
      </w:r>
    </w:p>
    <w:p w14:paraId="77EEE5DB" w14:textId="4AC6E681" w:rsidR="0095228B" w:rsidRPr="008224AB" w:rsidRDefault="0095228B" w:rsidP="008224AB">
      <w:pPr>
        <w:pStyle w:val="Odstavecseseznamem"/>
        <w:spacing w:after="120"/>
        <w:ind w:left="0"/>
        <w:contextualSpacing w:val="0"/>
        <w:jc w:val="both"/>
        <w:rPr>
          <w:rFonts w:cstheme="minorHAnsi"/>
          <w:color w:val="404040" w:themeColor="text1" w:themeTint="BF"/>
        </w:rPr>
      </w:pPr>
      <w:r w:rsidRPr="008224AB">
        <w:rPr>
          <w:rFonts w:cstheme="minorHAnsi"/>
          <w:color w:val="404040" w:themeColor="text1" w:themeTint="BF"/>
        </w:rPr>
        <w:t>(7)</w:t>
      </w:r>
      <w:r w:rsidRPr="008224AB">
        <w:rPr>
          <w:rFonts w:cstheme="minorHAnsi"/>
          <w:b/>
          <w:bCs/>
          <w:color w:val="404040" w:themeColor="text1" w:themeTint="BF"/>
        </w:rPr>
        <w:t xml:space="preserve">     </w:t>
      </w:r>
      <w:r w:rsidRPr="008224AB">
        <w:rPr>
          <w:rFonts w:cstheme="minorHAnsi"/>
          <w:color w:val="404040" w:themeColor="text1" w:themeTint="BF"/>
        </w:rPr>
        <w:t xml:space="preserve">Nepřítomnost vlastníka při zjišťování hranic není na překážku využití výsledků zjišťování hranic k vyhotovení nových souborů geodetických a popisných informací. Pokud vlastník přítomný při zjišťování hranic nevyjádřil nesouhlas se zjištěným průběhem hranice svého pozemku nebo pokud se vlastník zjišťování hranic nezúčastnil, přestože mu byla alespoň </w:t>
      </w:r>
      <w:r w:rsidRPr="008224AB">
        <w:rPr>
          <w:rFonts w:cstheme="minorHAnsi"/>
          <w:strike/>
          <w:color w:val="404040" w:themeColor="text1" w:themeTint="BF"/>
        </w:rPr>
        <w:t>15</w:t>
      </w:r>
      <w:r w:rsidRPr="008224AB">
        <w:rPr>
          <w:rFonts w:cstheme="minorHAnsi"/>
          <w:color w:val="404040" w:themeColor="text1" w:themeTint="BF"/>
        </w:rPr>
        <w:t xml:space="preserve"> </w:t>
      </w:r>
      <w:r w:rsidRPr="008224AB">
        <w:rPr>
          <w:rFonts w:cstheme="minorHAnsi"/>
          <w:b/>
          <w:bCs/>
          <w:color w:val="404040" w:themeColor="text1" w:themeTint="BF"/>
        </w:rPr>
        <w:t xml:space="preserve">30 </w:t>
      </w:r>
      <w:r w:rsidRPr="008224AB">
        <w:rPr>
          <w:rFonts w:cstheme="minorHAnsi"/>
          <w:color w:val="404040" w:themeColor="text1" w:themeTint="BF"/>
        </w:rPr>
        <w:t>dnů předem doručena pozvánka ke zjišťování hranic, ve které byl o důsledcích neúčasti řádně poučen, hledí se na hranici zjištěnou komisí jako na hranici odsouhlasenou vlastníkem. Prokáže</w:t>
      </w:r>
      <w:r w:rsidRPr="008224AB">
        <w:rPr>
          <w:rFonts w:cstheme="minorHAnsi"/>
          <w:color w:val="404040" w:themeColor="text1" w:themeTint="BF"/>
        </w:rPr>
        <w:noBreakHyphen/>
        <w:t>li vlastník, že mu v účasti při zjišťování hranic bránily závažné důvody, které nastaly bez jeho zavinění, může nesouhlas s průběhem zjištěné hranice uplatnit nejpozději jako námitku proti obsahu obnoveného katastrálního operátu.</w:t>
      </w:r>
    </w:p>
    <w:p w14:paraId="3D6BE1E3" w14:textId="77777777" w:rsidR="0095228B" w:rsidRPr="008224AB" w:rsidRDefault="0095228B" w:rsidP="008224AB">
      <w:pPr>
        <w:pStyle w:val="Odstavecseseznamem"/>
        <w:spacing w:after="0"/>
        <w:ind w:left="0"/>
        <w:contextualSpacing w:val="0"/>
        <w:jc w:val="both"/>
        <w:rPr>
          <w:rFonts w:cstheme="minorHAnsi"/>
          <w:b/>
          <w:color w:val="404040" w:themeColor="text1" w:themeTint="BF"/>
          <w:lang w:eastAsia="cs-CZ"/>
        </w:rPr>
      </w:pPr>
      <w:r w:rsidRPr="008224AB">
        <w:rPr>
          <w:rFonts w:cstheme="minorHAnsi"/>
          <w:b/>
          <w:color w:val="404040" w:themeColor="text1" w:themeTint="BF"/>
          <w:lang w:eastAsia="cs-CZ"/>
        </w:rPr>
        <w:t>Odůvodnění:</w:t>
      </w:r>
    </w:p>
    <w:p w14:paraId="22A25F8B" w14:textId="77777777" w:rsidR="0095228B" w:rsidRPr="008224AB" w:rsidRDefault="0095228B" w:rsidP="008224AB">
      <w:pPr>
        <w:pStyle w:val="Odstavecseseznamem"/>
        <w:spacing w:after="0"/>
        <w:ind w:left="0"/>
        <w:contextualSpacing w:val="0"/>
        <w:jc w:val="both"/>
        <w:rPr>
          <w:rFonts w:cstheme="minorHAnsi"/>
          <w:color w:val="404040" w:themeColor="text1" w:themeTint="BF"/>
        </w:rPr>
      </w:pPr>
      <w:r w:rsidRPr="008224AB">
        <w:rPr>
          <w:rFonts w:cstheme="minorHAnsi"/>
          <w:color w:val="404040" w:themeColor="text1" w:themeTint="BF"/>
        </w:rPr>
        <w:t>Již v současnosti je tato vysoce odborná činnost vykonávána často neodborně, navrhovanou právní úpravou by k další degradaci řádného šetření hranic a vedlo by k zásadnímu oslabení právních jistot vlastníků.</w:t>
      </w:r>
    </w:p>
    <w:p w14:paraId="48F56036" w14:textId="77777777" w:rsidR="00EC3D6C" w:rsidRDefault="00EC3D6C" w:rsidP="00EC3D6C">
      <w:pPr>
        <w:pStyle w:val="Odstavecseseznamem"/>
        <w:spacing w:after="0"/>
        <w:ind w:left="0"/>
        <w:contextualSpacing w:val="0"/>
        <w:rPr>
          <w:rFonts w:cstheme="minorHAnsi"/>
          <w:color w:val="000000"/>
        </w:rPr>
      </w:pPr>
    </w:p>
    <w:p w14:paraId="5400C2D5" w14:textId="4AA077E6" w:rsidR="00F652F6" w:rsidRPr="00F652F6" w:rsidRDefault="00F652F6" w:rsidP="00F652F6">
      <w:pPr>
        <w:pStyle w:val="Odstavecseseznamem"/>
        <w:spacing w:after="120"/>
        <w:ind w:left="0"/>
        <w:contextualSpacing w:val="0"/>
        <w:jc w:val="both"/>
        <w:rPr>
          <w:rFonts w:cstheme="minorHAnsi"/>
          <w:b/>
          <w:bCs/>
          <w:color w:val="404040" w:themeColor="text1" w:themeTint="BF"/>
          <w:lang w:eastAsia="cs-CZ"/>
        </w:rPr>
      </w:pPr>
      <w:r w:rsidRPr="00DB24B5">
        <w:rPr>
          <w:rFonts w:cstheme="minorHAnsi"/>
          <w:b/>
          <w:bCs/>
          <w:color w:val="404040" w:themeColor="text1" w:themeTint="BF"/>
          <w:lang w:eastAsia="cs-CZ"/>
        </w:rPr>
        <w:t>Tato připomínka je zásadní.</w:t>
      </w:r>
    </w:p>
    <w:p w14:paraId="08540D37" w14:textId="12D55D3B" w:rsidR="00DB24B5" w:rsidRDefault="00DB24B5" w:rsidP="0095228B">
      <w:pPr>
        <w:pStyle w:val="Odstavecseseznamem"/>
        <w:numPr>
          <w:ilvl w:val="0"/>
          <w:numId w:val="31"/>
        </w:numPr>
        <w:spacing w:after="0"/>
        <w:jc w:val="both"/>
        <w:rPr>
          <w:rFonts w:cstheme="minorHAnsi"/>
          <w:b/>
          <w:color w:val="404040" w:themeColor="text1" w:themeTint="BF"/>
          <w:u w:val="single"/>
          <w:lang w:eastAsia="cs-CZ"/>
        </w:rPr>
      </w:pPr>
      <w:r>
        <w:rPr>
          <w:rFonts w:cstheme="minorHAnsi"/>
          <w:b/>
          <w:color w:val="404040" w:themeColor="text1" w:themeTint="BF"/>
          <w:u w:val="single"/>
          <w:lang w:eastAsia="cs-CZ"/>
        </w:rPr>
        <w:t xml:space="preserve"> K § </w:t>
      </w:r>
      <w:r w:rsidR="00327B35">
        <w:rPr>
          <w:rFonts w:cstheme="minorHAnsi"/>
          <w:b/>
          <w:color w:val="404040" w:themeColor="text1" w:themeTint="BF"/>
          <w:u w:val="single"/>
          <w:lang w:eastAsia="cs-CZ"/>
        </w:rPr>
        <w:t>48 odst. 1</w:t>
      </w:r>
    </w:p>
    <w:p w14:paraId="568B64DE" w14:textId="7373F0A8" w:rsidR="00327B35" w:rsidRDefault="00327B35" w:rsidP="00327B35">
      <w:pPr>
        <w:pStyle w:val="Odstavecseseznamem"/>
        <w:spacing w:after="0"/>
        <w:ind w:left="0"/>
        <w:jc w:val="both"/>
        <w:rPr>
          <w:rFonts w:cstheme="minorHAnsi"/>
          <w:b/>
          <w:color w:val="404040" w:themeColor="text1" w:themeTint="BF"/>
          <w:lang w:eastAsia="cs-CZ"/>
        </w:rPr>
      </w:pPr>
      <w:r w:rsidRPr="00327B35">
        <w:rPr>
          <w:rFonts w:cstheme="minorHAnsi"/>
          <w:b/>
          <w:color w:val="404040" w:themeColor="text1" w:themeTint="BF"/>
          <w:lang w:eastAsia="cs-CZ"/>
        </w:rPr>
        <w:t>Požadujeme upravit následovně:</w:t>
      </w:r>
    </w:p>
    <w:p w14:paraId="6570F30E" w14:textId="77777777" w:rsidR="00637F0B" w:rsidRDefault="00637F0B" w:rsidP="00637F0B">
      <w:pPr>
        <w:pStyle w:val="Odstavecseseznamem"/>
        <w:spacing w:after="0"/>
        <w:ind w:left="0"/>
        <w:jc w:val="both"/>
        <w:rPr>
          <w:b/>
          <w:color w:val="404040" w:themeColor="text1" w:themeTint="BF"/>
          <w:lang w:eastAsia="cs-CZ"/>
        </w:rPr>
      </w:pPr>
      <w:r w:rsidRPr="00637F0B">
        <w:rPr>
          <w:color w:val="404040" w:themeColor="text1" w:themeTint="BF"/>
          <w:lang w:eastAsia="cs-CZ"/>
        </w:rPr>
        <w:t xml:space="preserve">Je-li třeba předmět zápisu zobrazit do katastrální mapy, má-li být zpřesněno jeho geometrické a polohové určení nebo byl-li průběh hranice určen soudem </w:t>
      </w:r>
      <w:r w:rsidRPr="00637F0B">
        <w:rPr>
          <w:b/>
          <w:color w:val="404040" w:themeColor="text1" w:themeTint="BF"/>
          <w:lang w:eastAsia="cs-CZ"/>
        </w:rPr>
        <w:t>nebo úřadem</w:t>
      </w:r>
      <w:r w:rsidRPr="00637F0B">
        <w:rPr>
          <w:color w:val="404040" w:themeColor="text1" w:themeTint="BF"/>
          <w:lang w:eastAsia="cs-CZ"/>
        </w:rPr>
        <w:t>, musí listina, podle které má být proveden zápis do katastru, obsahovat odkaz na geometrický plán, který byl podkladem pro její vyhotovení</w:t>
      </w:r>
      <w:r w:rsidRPr="00637F0B">
        <w:rPr>
          <w:b/>
          <w:color w:val="404040" w:themeColor="text1" w:themeTint="BF"/>
          <w:lang w:eastAsia="cs-CZ"/>
        </w:rPr>
        <w:t>, nebo musí být s listinou spojen geometrický plán, přičemž v takovém případě se geometrický plán považuje za součást listiny.</w:t>
      </w:r>
    </w:p>
    <w:p w14:paraId="39475522" w14:textId="77777777" w:rsidR="001A4E01" w:rsidRDefault="001A4E01" w:rsidP="00637F0B">
      <w:pPr>
        <w:pStyle w:val="Odstavecseseznamem"/>
        <w:spacing w:after="0"/>
        <w:ind w:left="0"/>
        <w:jc w:val="both"/>
        <w:rPr>
          <w:b/>
          <w:color w:val="404040" w:themeColor="text1" w:themeTint="BF"/>
          <w:lang w:eastAsia="cs-CZ"/>
        </w:rPr>
      </w:pPr>
    </w:p>
    <w:p w14:paraId="2986E21F" w14:textId="47858896" w:rsidR="001A4E01" w:rsidRDefault="001A4E01" w:rsidP="00637F0B">
      <w:pPr>
        <w:pStyle w:val="Odstavecseseznamem"/>
        <w:spacing w:after="0"/>
        <w:ind w:left="0"/>
        <w:jc w:val="both"/>
        <w:rPr>
          <w:b/>
          <w:color w:val="404040" w:themeColor="text1" w:themeTint="BF"/>
          <w:lang w:eastAsia="cs-CZ"/>
        </w:rPr>
      </w:pPr>
      <w:r>
        <w:rPr>
          <w:b/>
          <w:color w:val="404040" w:themeColor="text1" w:themeTint="BF"/>
          <w:lang w:eastAsia="cs-CZ"/>
        </w:rPr>
        <w:t>Odůvodnění:</w:t>
      </w:r>
    </w:p>
    <w:p w14:paraId="6379CAAA" w14:textId="77777777" w:rsidR="00F652F6" w:rsidRPr="00F652F6" w:rsidRDefault="00F652F6" w:rsidP="00F652F6">
      <w:pPr>
        <w:pStyle w:val="Odstavecseseznamem"/>
        <w:spacing w:after="0"/>
        <w:ind w:left="0"/>
        <w:jc w:val="both"/>
        <w:rPr>
          <w:color w:val="404040" w:themeColor="text1" w:themeTint="BF"/>
          <w:lang w:eastAsia="cs-CZ"/>
        </w:rPr>
      </w:pPr>
      <w:r w:rsidRPr="00F652F6">
        <w:rPr>
          <w:color w:val="404040" w:themeColor="text1" w:themeTint="BF"/>
          <w:lang w:eastAsia="cs-CZ"/>
        </w:rPr>
        <w:lastRenderedPageBreak/>
        <w:t>S ohledem na dosavadní praxi a v případech starších vkladových listin splnění odkazu na geometrický plán není možné splnit, a proto navrhujeme ponechat možnost zachování ustálené dosavadní praxe jako alternativu k odkazům na geometrické plány. V opačném případě hrozí, že už existují vkladové listiny po účinnosti novely nebude možné zapsat.</w:t>
      </w:r>
    </w:p>
    <w:p w14:paraId="6D1C5E3A" w14:textId="77777777" w:rsidR="001A4E01" w:rsidRDefault="001A4E01" w:rsidP="00637F0B">
      <w:pPr>
        <w:pStyle w:val="Odstavecseseznamem"/>
        <w:spacing w:after="0"/>
        <w:ind w:left="0"/>
        <w:jc w:val="both"/>
        <w:rPr>
          <w:color w:val="404040" w:themeColor="text1" w:themeTint="BF"/>
          <w:lang w:eastAsia="cs-CZ"/>
        </w:rPr>
      </w:pPr>
    </w:p>
    <w:p w14:paraId="6FD12470" w14:textId="486823CF" w:rsidR="00327B35" w:rsidRPr="00F652F6" w:rsidRDefault="00F652F6" w:rsidP="00F652F6">
      <w:pPr>
        <w:pStyle w:val="Odstavecseseznamem"/>
        <w:spacing w:after="120"/>
        <w:ind w:left="0"/>
        <w:contextualSpacing w:val="0"/>
        <w:jc w:val="both"/>
        <w:rPr>
          <w:rFonts w:cstheme="minorHAnsi"/>
          <w:b/>
          <w:bCs/>
          <w:color w:val="404040" w:themeColor="text1" w:themeTint="BF"/>
          <w:lang w:eastAsia="cs-CZ"/>
        </w:rPr>
      </w:pPr>
      <w:r w:rsidRPr="00DB24B5">
        <w:rPr>
          <w:rFonts w:cstheme="minorHAnsi"/>
          <w:b/>
          <w:bCs/>
          <w:color w:val="404040" w:themeColor="text1" w:themeTint="BF"/>
          <w:lang w:eastAsia="cs-CZ"/>
        </w:rPr>
        <w:t>Tato připomínka je zásadní.</w:t>
      </w:r>
    </w:p>
    <w:p w14:paraId="72AEDCF8" w14:textId="2FBDC996" w:rsidR="0095228B" w:rsidRPr="00DB24B5" w:rsidRDefault="004D65C6" w:rsidP="0095228B">
      <w:pPr>
        <w:pStyle w:val="Odstavecseseznamem"/>
        <w:numPr>
          <w:ilvl w:val="0"/>
          <w:numId w:val="31"/>
        </w:numPr>
        <w:spacing w:after="0"/>
        <w:jc w:val="both"/>
        <w:rPr>
          <w:rFonts w:cstheme="minorHAnsi"/>
          <w:b/>
          <w:color w:val="404040" w:themeColor="text1" w:themeTint="BF"/>
          <w:u w:val="single"/>
          <w:lang w:eastAsia="cs-CZ"/>
        </w:rPr>
      </w:pPr>
      <w:r>
        <w:rPr>
          <w:rFonts w:cstheme="minorHAnsi"/>
          <w:b/>
          <w:color w:val="404040" w:themeColor="text1" w:themeTint="BF"/>
          <w:u w:val="single"/>
          <w:lang w:eastAsia="cs-CZ"/>
        </w:rPr>
        <w:t xml:space="preserve"> </w:t>
      </w:r>
      <w:r w:rsidR="00080664" w:rsidRPr="00DB24B5">
        <w:rPr>
          <w:rFonts w:cstheme="minorHAnsi"/>
          <w:b/>
          <w:color w:val="404040" w:themeColor="text1" w:themeTint="BF"/>
          <w:u w:val="single"/>
          <w:lang w:eastAsia="cs-CZ"/>
        </w:rPr>
        <w:t>K § 52:</w:t>
      </w:r>
      <w:r w:rsidR="00080664" w:rsidRPr="00DB24B5">
        <w:rPr>
          <w:rFonts w:cstheme="minorHAnsi"/>
          <w:bCs/>
          <w:color w:val="404040" w:themeColor="text1" w:themeTint="BF"/>
          <w:lang w:eastAsia="cs-CZ"/>
        </w:rPr>
        <w:t xml:space="preserve"> </w:t>
      </w:r>
    </w:p>
    <w:p w14:paraId="669AF5A2" w14:textId="207044F5" w:rsidR="00080664" w:rsidRPr="00DB24B5" w:rsidRDefault="00080664" w:rsidP="005F5317">
      <w:pPr>
        <w:pStyle w:val="Odstavecseseznamem"/>
        <w:spacing w:after="120"/>
        <w:ind w:left="0"/>
        <w:contextualSpacing w:val="0"/>
        <w:jc w:val="both"/>
        <w:rPr>
          <w:rFonts w:cstheme="minorHAnsi"/>
          <w:b/>
          <w:color w:val="404040" w:themeColor="text1" w:themeTint="BF"/>
          <w:u w:val="single"/>
          <w:lang w:eastAsia="cs-CZ"/>
        </w:rPr>
      </w:pPr>
      <w:r w:rsidRPr="00DB24B5">
        <w:rPr>
          <w:rFonts w:cstheme="minorHAnsi"/>
          <w:bCs/>
          <w:color w:val="404040" w:themeColor="text1" w:themeTint="BF"/>
          <w:lang w:eastAsia="cs-CZ"/>
        </w:rPr>
        <w:t>Přístup k datům z katastru by měl být oproti návrhu rozšířen.</w:t>
      </w:r>
    </w:p>
    <w:p w14:paraId="3DE93E36" w14:textId="77777777" w:rsidR="00080664" w:rsidRPr="00DB24B5" w:rsidRDefault="00080664" w:rsidP="005F5317">
      <w:pPr>
        <w:pStyle w:val="Odstavecseseznamem"/>
        <w:spacing w:after="120"/>
        <w:ind w:left="0"/>
        <w:contextualSpacing w:val="0"/>
        <w:jc w:val="both"/>
        <w:rPr>
          <w:rFonts w:cstheme="minorHAnsi"/>
          <w:b/>
          <w:color w:val="404040" w:themeColor="text1" w:themeTint="BF"/>
          <w:lang w:eastAsia="cs-CZ"/>
        </w:rPr>
      </w:pPr>
      <w:r w:rsidRPr="00DB24B5">
        <w:rPr>
          <w:rFonts w:cstheme="minorHAnsi"/>
          <w:b/>
          <w:color w:val="404040" w:themeColor="text1" w:themeTint="BF"/>
          <w:lang w:eastAsia="cs-CZ"/>
        </w:rPr>
        <w:t>Odůvodnění:</w:t>
      </w:r>
    </w:p>
    <w:p w14:paraId="1EE04FBF" w14:textId="77777777" w:rsidR="00080664" w:rsidRPr="00DB24B5" w:rsidRDefault="00080664" w:rsidP="005F5317">
      <w:pPr>
        <w:pStyle w:val="Odstavecseseznamem"/>
        <w:spacing w:after="120"/>
        <w:ind w:left="0"/>
        <w:contextualSpacing w:val="0"/>
        <w:jc w:val="both"/>
        <w:rPr>
          <w:rFonts w:cstheme="minorHAnsi"/>
          <w:color w:val="404040" w:themeColor="text1" w:themeTint="BF"/>
          <w:lang w:eastAsia="cs-CZ"/>
        </w:rPr>
      </w:pPr>
      <w:r w:rsidRPr="00DB24B5">
        <w:rPr>
          <w:rFonts w:cstheme="minorHAnsi"/>
          <w:color w:val="404040" w:themeColor="text1" w:themeTint="BF"/>
          <w:lang w:eastAsia="cs-CZ"/>
        </w:rPr>
        <w:t xml:space="preserve">Navrhované rozlišení mezi technickými a právními údaji katastru a zavedení povinnosti prokázání totožnosti při získávání právních údajů představuje významnou změnu v přístupu k veřejnosti katastru. Chápeme důvody této změny, zejména ochranu osobních údajů. Ta by neměla být plošně aplikována na údaje právnických osob – ty by z našeho pohledu neměly být anonymizovány a podrobovány speciálnímu přístupu. Dále pak výčet důvodů dle § 1 odst. 2 se jeví nedostatečný. </w:t>
      </w:r>
    </w:p>
    <w:p w14:paraId="1E601826" w14:textId="77777777" w:rsidR="00080664" w:rsidRPr="00DB24B5" w:rsidRDefault="00080664" w:rsidP="005F5317">
      <w:pPr>
        <w:pStyle w:val="Odstavecseseznamem"/>
        <w:spacing w:after="120"/>
        <w:ind w:left="0"/>
        <w:contextualSpacing w:val="0"/>
        <w:jc w:val="both"/>
        <w:rPr>
          <w:rFonts w:cstheme="minorHAnsi"/>
          <w:color w:val="404040" w:themeColor="text1" w:themeTint="BF"/>
          <w:lang w:eastAsia="cs-CZ"/>
        </w:rPr>
      </w:pPr>
      <w:r w:rsidRPr="00DB24B5">
        <w:rPr>
          <w:rFonts w:cstheme="minorHAnsi"/>
          <w:color w:val="404040" w:themeColor="text1" w:themeTint="BF"/>
          <w:lang w:eastAsia="cs-CZ"/>
        </w:rPr>
        <w:t>Nicméně předně požadujeme alespoň zachování přístupu k údajům pro státní organizace, které využívají údaje katastru pro výkon veřejné správy, správu majetku nebo jiné účely související s předmětem jejich činnosti; též nezbytné pro posouzení důvodů převodu majetku určenému nabyvateli (ověření vlastnictví navazujících pozemků na převáděný majetek). Není patrné, zda by byl zachován dálkový přístup přes registraci mimo identitu občana (tento způsob je pro zaměstnance právnických osob krajně nevhodný). Zavedení povinnosti prokázání totožnosti u každého jednotlivého dotazu může vést k výraznému zpomalení procesů a zvýšení nákladů na jejich provoz. Požadujeme výslovnou výjimku nebo zvláštní režim pro státní organizace alespoň formou současného dálkového přístupu. Současně by měla být zachována možnost tvorby návrhu na vklad s automatizovaným doplněním údajů, která pomáhá eliminovat chybovost dat a snižuje nároky jak na navrhovatele, tak pracovníky katastru nemovitostí.</w:t>
      </w:r>
    </w:p>
    <w:p w14:paraId="48857264" w14:textId="19D21148" w:rsidR="00080664" w:rsidRPr="008E5A64" w:rsidRDefault="00080664" w:rsidP="008E5A64">
      <w:pPr>
        <w:pStyle w:val="Odstavecseseznamem"/>
        <w:spacing w:after="120"/>
        <w:ind w:left="0"/>
        <w:contextualSpacing w:val="0"/>
        <w:jc w:val="both"/>
        <w:rPr>
          <w:rFonts w:cstheme="minorHAnsi"/>
          <w:b/>
          <w:bCs/>
          <w:color w:val="404040" w:themeColor="text1" w:themeTint="BF"/>
          <w:lang w:eastAsia="cs-CZ"/>
        </w:rPr>
      </w:pPr>
      <w:r w:rsidRPr="00DB24B5">
        <w:rPr>
          <w:rFonts w:cstheme="minorHAnsi"/>
          <w:b/>
          <w:bCs/>
          <w:color w:val="404040" w:themeColor="text1" w:themeTint="BF"/>
          <w:lang w:eastAsia="cs-CZ"/>
        </w:rPr>
        <w:t>Tato připomínka je zásadní.</w:t>
      </w:r>
    </w:p>
    <w:p w14:paraId="7688A005" w14:textId="667EBE3A" w:rsidR="00C56EBC" w:rsidRDefault="00DA5576" w:rsidP="00080664">
      <w:pPr>
        <w:pStyle w:val="Odstavecseseznamem"/>
        <w:numPr>
          <w:ilvl w:val="0"/>
          <w:numId w:val="31"/>
        </w:numPr>
        <w:spacing w:after="0"/>
        <w:jc w:val="both"/>
        <w:rPr>
          <w:b/>
          <w:color w:val="404040" w:themeColor="text1" w:themeTint="BF"/>
          <w:u w:val="single"/>
          <w:lang w:eastAsia="cs-CZ"/>
        </w:rPr>
      </w:pPr>
      <w:r>
        <w:rPr>
          <w:b/>
          <w:color w:val="404040" w:themeColor="text1" w:themeTint="BF"/>
          <w:u w:val="single"/>
          <w:lang w:eastAsia="cs-CZ"/>
        </w:rPr>
        <w:t xml:space="preserve"> </w:t>
      </w:r>
      <w:r w:rsidR="00C56EBC">
        <w:rPr>
          <w:b/>
          <w:color w:val="404040" w:themeColor="text1" w:themeTint="BF"/>
          <w:u w:val="single"/>
          <w:lang w:eastAsia="cs-CZ"/>
        </w:rPr>
        <w:t>K §</w:t>
      </w:r>
      <w:r w:rsidR="00EE37BC">
        <w:rPr>
          <w:b/>
          <w:color w:val="404040" w:themeColor="text1" w:themeTint="BF"/>
          <w:u w:val="single"/>
          <w:lang w:eastAsia="cs-CZ"/>
        </w:rPr>
        <w:t xml:space="preserve"> 55a odst. 6 </w:t>
      </w:r>
    </w:p>
    <w:p w14:paraId="7968282A" w14:textId="71995327" w:rsidR="00E12851" w:rsidRDefault="00E43C15" w:rsidP="005F5317">
      <w:pPr>
        <w:pStyle w:val="Odstavecseseznamem"/>
        <w:spacing w:after="120"/>
        <w:ind w:left="0"/>
        <w:contextualSpacing w:val="0"/>
        <w:jc w:val="both"/>
        <w:rPr>
          <w:bCs/>
          <w:color w:val="404040" w:themeColor="text1" w:themeTint="BF"/>
          <w:lang w:eastAsia="cs-CZ"/>
        </w:rPr>
      </w:pPr>
      <w:r>
        <w:rPr>
          <w:bCs/>
          <w:color w:val="404040" w:themeColor="text1" w:themeTint="BF"/>
          <w:lang w:eastAsia="cs-CZ"/>
        </w:rPr>
        <w:t>Požadujeme vysvětlení, proč</w:t>
      </w:r>
      <w:r w:rsidR="000C3A11">
        <w:rPr>
          <w:bCs/>
          <w:color w:val="404040" w:themeColor="text1" w:themeTint="BF"/>
          <w:lang w:eastAsia="cs-CZ"/>
        </w:rPr>
        <w:t xml:space="preserve"> </w:t>
      </w:r>
      <w:r w:rsidR="000C3A11" w:rsidRPr="000C3A11">
        <w:rPr>
          <w:bCs/>
          <w:color w:val="404040" w:themeColor="text1" w:themeTint="BF"/>
          <w:lang w:eastAsia="cs-CZ"/>
        </w:rPr>
        <w:t>je bezúplatný přístup do katastru umožněn pouze České národní bance</w:t>
      </w:r>
      <w:r w:rsidR="00634F29">
        <w:rPr>
          <w:bCs/>
          <w:color w:val="404040" w:themeColor="text1" w:themeTint="BF"/>
          <w:lang w:eastAsia="cs-CZ"/>
        </w:rPr>
        <w:t xml:space="preserve">. </w:t>
      </w:r>
      <w:r w:rsidR="00CC0DDC">
        <w:rPr>
          <w:bCs/>
          <w:color w:val="404040" w:themeColor="text1" w:themeTint="BF"/>
          <w:lang w:eastAsia="cs-CZ"/>
        </w:rPr>
        <w:t>Důvodová zpráva uvádí</w:t>
      </w:r>
      <w:r w:rsidR="00BE6688">
        <w:rPr>
          <w:bCs/>
          <w:color w:val="404040" w:themeColor="text1" w:themeTint="BF"/>
          <w:lang w:eastAsia="cs-CZ"/>
        </w:rPr>
        <w:t>, že</w:t>
      </w:r>
      <w:r w:rsidR="00B143EE">
        <w:rPr>
          <w:bCs/>
          <w:color w:val="404040" w:themeColor="text1" w:themeTint="BF"/>
          <w:lang w:eastAsia="cs-CZ"/>
        </w:rPr>
        <w:t xml:space="preserve"> možnost</w:t>
      </w:r>
      <w:r w:rsidR="00BE6688">
        <w:rPr>
          <w:bCs/>
          <w:color w:val="404040" w:themeColor="text1" w:themeTint="BF"/>
          <w:lang w:eastAsia="cs-CZ"/>
        </w:rPr>
        <w:t xml:space="preserve"> získat údaje z katastru bezúplatně </w:t>
      </w:r>
      <w:r w:rsidR="00FE3A4C">
        <w:rPr>
          <w:bCs/>
          <w:color w:val="404040" w:themeColor="text1" w:themeTint="BF"/>
          <w:lang w:eastAsia="cs-CZ"/>
        </w:rPr>
        <w:t>se rozšiřuje na orgány veřejné moci</w:t>
      </w:r>
      <w:r w:rsidR="00711A5B">
        <w:rPr>
          <w:bCs/>
          <w:color w:val="404040" w:themeColor="text1" w:themeTint="BF"/>
          <w:lang w:eastAsia="cs-CZ"/>
        </w:rPr>
        <w:t xml:space="preserve"> a na další subjekty</w:t>
      </w:r>
      <w:r w:rsidR="00B76E1B">
        <w:rPr>
          <w:bCs/>
          <w:color w:val="404040" w:themeColor="text1" w:themeTint="BF"/>
          <w:lang w:eastAsia="cs-CZ"/>
        </w:rPr>
        <w:t xml:space="preserve">, </w:t>
      </w:r>
      <w:r w:rsidR="00905745">
        <w:rPr>
          <w:bCs/>
          <w:color w:val="404040" w:themeColor="text1" w:themeTint="BF"/>
          <w:lang w:eastAsia="cs-CZ"/>
        </w:rPr>
        <w:t xml:space="preserve">které sice nemají </w:t>
      </w:r>
      <w:r w:rsidR="00594723">
        <w:rPr>
          <w:bCs/>
          <w:color w:val="404040" w:themeColor="text1" w:themeTint="BF"/>
          <w:lang w:eastAsia="cs-CZ"/>
        </w:rPr>
        <w:t>statut</w:t>
      </w:r>
      <w:r w:rsidR="00905745">
        <w:rPr>
          <w:bCs/>
          <w:color w:val="404040" w:themeColor="text1" w:themeTint="BF"/>
          <w:lang w:eastAsia="cs-CZ"/>
        </w:rPr>
        <w:t xml:space="preserve"> orgánů veřejné moci</w:t>
      </w:r>
      <w:r w:rsidR="0006251A">
        <w:rPr>
          <w:bCs/>
          <w:color w:val="404040" w:themeColor="text1" w:themeTint="BF"/>
          <w:lang w:eastAsia="cs-CZ"/>
        </w:rPr>
        <w:t>,</w:t>
      </w:r>
      <w:r w:rsidR="00905745">
        <w:rPr>
          <w:bCs/>
          <w:color w:val="404040" w:themeColor="text1" w:themeTint="BF"/>
          <w:lang w:eastAsia="cs-CZ"/>
        </w:rPr>
        <w:t xml:space="preserve"> avšak působí ve veřejném zájmu. </w:t>
      </w:r>
      <w:r w:rsidR="003166BD">
        <w:rPr>
          <w:bCs/>
          <w:color w:val="404040" w:themeColor="text1" w:themeTint="BF"/>
          <w:lang w:eastAsia="cs-CZ"/>
        </w:rPr>
        <w:t xml:space="preserve">Existuje mnoho dalších </w:t>
      </w:r>
      <w:r w:rsidR="00C72D21">
        <w:rPr>
          <w:bCs/>
          <w:color w:val="404040" w:themeColor="text1" w:themeTint="BF"/>
          <w:lang w:eastAsia="cs-CZ"/>
        </w:rPr>
        <w:t xml:space="preserve">provozovatelů, kteří </w:t>
      </w:r>
      <w:r w:rsidR="0006251A">
        <w:rPr>
          <w:bCs/>
          <w:color w:val="404040" w:themeColor="text1" w:themeTint="BF"/>
          <w:lang w:eastAsia="cs-CZ"/>
        </w:rPr>
        <w:t xml:space="preserve">rovněž </w:t>
      </w:r>
      <w:r w:rsidR="00C72D21">
        <w:rPr>
          <w:bCs/>
          <w:color w:val="404040" w:themeColor="text1" w:themeTint="BF"/>
          <w:lang w:eastAsia="cs-CZ"/>
        </w:rPr>
        <w:t>působí ve veřejném zájmu a nejsou</w:t>
      </w:r>
      <w:r w:rsidR="00DB747B">
        <w:rPr>
          <w:bCs/>
          <w:color w:val="404040" w:themeColor="text1" w:themeTint="BF"/>
          <w:lang w:eastAsia="cs-CZ"/>
        </w:rPr>
        <w:t xml:space="preserve"> mezi uvedenými subjekty zahrnuty.</w:t>
      </w:r>
      <w:r w:rsidR="00C72D21">
        <w:rPr>
          <w:bCs/>
          <w:color w:val="404040" w:themeColor="text1" w:themeTint="BF"/>
          <w:lang w:eastAsia="cs-CZ"/>
        </w:rPr>
        <w:t xml:space="preserve">  Ne</w:t>
      </w:r>
      <w:r w:rsidR="00306769">
        <w:rPr>
          <w:bCs/>
          <w:color w:val="404040" w:themeColor="text1" w:themeTint="BF"/>
          <w:lang w:eastAsia="cs-CZ"/>
        </w:rPr>
        <w:t xml:space="preserve">jedná se </w:t>
      </w:r>
      <w:r w:rsidR="00C72D21">
        <w:rPr>
          <w:bCs/>
          <w:color w:val="404040" w:themeColor="text1" w:themeTint="BF"/>
          <w:lang w:eastAsia="cs-CZ"/>
        </w:rPr>
        <w:t>pouze</w:t>
      </w:r>
      <w:r w:rsidR="00B66E46">
        <w:rPr>
          <w:bCs/>
          <w:color w:val="404040" w:themeColor="text1" w:themeTint="BF"/>
          <w:lang w:eastAsia="cs-CZ"/>
        </w:rPr>
        <w:t xml:space="preserve"> o</w:t>
      </w:r>
      <w:r w:rsidR="00C72D21">
        <w:rPr>
          <w:bCs/>
          <w:color w:val="404040" w:themeColor="text1" w:themeTint="BF"/>
          <w:lang w:eastAsia="cs-CZ"/>
        </w:rPr>
        <w:t xml:space="preserve"> Čes</w:t>
      </w:r>
      <w:r w:rsidR="00306769">
        <w:rPr>
          <w:bCs/>
          <w:color w:val="404040" w:themeColor="text1" w:themeTint="BF"/>
          <w:lang w:eastAsia="cs-CZ"/>
        </w:rPr>
        <w:t>kou</w:t>
      </w:r>
      <w:r w:rsidR="00C72D21">
        <w:rPr>
          <w:bCs/>
          <w:color w:val="404040" w:themeColor="text1" w:themeTint="BF"/>
          <w:lang w:eastAsia="cs-CZ"/>
        </w:rPr>
        <w:t xml:space="preserve"> národní bank</w:t>
      </w:r>
      <w:r w:rsidR="00306769">
        <w:rPr>
          <w:bCs/>
          <w:color w:val="404040" w:themeColor="text1" w:themeTint="BF"/>
          <w:lang w:eastAsia="cs-CZ"/>
        </w:rPr>
        <w:t>u</w:t>
      </w:r>
      <w:r w:rsidR="007D5696">
        <w:rPr>
          <w:bCs/>
          <w:color w:val="404040" w:themeColor="text1" w:themeTint="BF"/>
          <w:lang w:eastAsia="cs-CZ"/>
        </w:rPr>
        <w:t>, ale například</w:t>
      </w:r>
      <w:r w:rsidR="00084582">
        <w:rPr>
          <w:bCs/>
          <w:color w:val="404040" w:themeColor="text1" w:themeTint="BF"/>
          <w:lang w:eastAsia="cs-CZ"/>
        </w:rPr>
        <w:t xml:space="preserve"> také o</w:t>
      </w:r>
      <w:r w:rsidR="007D5696">
        <w:rPr>
          <w:bCs/>
          <w:color w:val="404040" w:themeColor="text1" w:themeTint="BF"/>
          <w:lang w:eastAsia="cs-CZ"/>
        </w:rPr>
        <w:t xml:space="preserve"> Ředitelství silnic a dálnic</w:t>
      </w:r>
      <w:r w:rsidR="00501AD7">
        <w:rPr>
          <w:bCs/>
          <w:color w:val="404040" w:themeColor="text1" w:themeTint="BF"/>
          <w:lang w:eastAsia="cs-CZ"/>
        </w:rPr>
        <w:t>, Správa železnic, správci telekomunika</w:t>
      </w:r>
      <w:r w:rsidR="00084582">
        <w:rPr>
          <w:bCs/>
          <w:color w:val="404040" w:themeColor="text1" w:themeTint="BF"/>
          <w:lang w:eastAsia="cs-CZ"/>
        </w:rPr>
        <w:t xml:space="preserve">čních </w:t>
      </w:r>
      <w:r w:rsidR="00601C2E">
        <w:rPr>
          <w:bCs/>
          <w:color w:val="404040" w:themeColor="text1" w:themeTint="BF"/>
          <w:lang w:eastAsia="cs-CZ"/>
        </w:rPr>
        <w:t xml:space="preserve">a </w:t>
      </w:r>
      <w:r w:rsidR="00A63B1A">
        <w:rPr>
          <w:bCs/>
          <w:color w:val="404040" w:themeColor="text1" w:themeTint="BF"/>
          <w:lang w:eastAsia="cs-CZ"/>
        </w:rPr>
        <w:t>energetických sítí</w:t>
      </w:r>
      <w:r w:rsidR="004B4FFB">
        <w:rPr>
          <w:bCs/>
          <w:color w:val="404040" w:themeColor="text1" w:themeTint="BF"/>
          <w:lang w:eastAsia="cs-CZ"/>
        </w:rPr>
        <w:t>, Povodí ČR</w:t>
      </w:r>
      <w:r w:rsidR="00B76E1B">
        <w:rPr>
          <w:bCs/>
          <w:color w:val="404040" w:themeColor="text1" w:themeTint="BF"/>
          <w:lang w:eastAsia="cs-CZ"/>
        </w:rPr>
        <w:t xml:space="preserve"> </w:t>
      </w:r>
      <w:r w:rsidR="004B4FFB">
        <w:rPr>
          <w:bCs/>
          <w:color w:val="404040" w:themeColor="text1" w:themeTint="BF"/>
          <w:lang w:eastAsia="cs-CZ"/>
        </w:rPr>
        <w:t xml:space="preserve">atd. </w:t>
      </w:r>
    </w:p>
    <w:p w14:paraId="39A57F36" w14:textId="77777777" w:rsidR="005F5B00" w:rsidRDefault="00B76E1B" w:rsidP="005F5317">
      <w:pPr>
        <w:pStyle w:val="Odstavecseseznamem"/>
        <w:spacing w:after="120"/>
        <w:ind w:left="0"/>
        <w:contextualSpacing w:val="0"/>
        <w:jc w:val="both"/>
        <w:rPr>
          <w:bCs/>
          <w:color w:val="404040" w:themeColor="text1" w:themeTint="BF"/>
          <w:lang w:eastAsia="cs-CZ"/>
        </w:rPr>
      </w:pPr>
      <w:r w:rsidRPr="00B76E1B">
        <w:rPr>
          <w:bCs/>
          <w:color w:val="404040" w:themeColor="text1" w:themeTint="BF"/>
          <w:lang w:eastAsia="cs-CZ"/>
        </w:rPr>
        <w:t>Domníváme se, že současné znění návrhu vytváří nespravedlivou situaci vůči ostatním provozovatelům působícím ve veřejném zájmu.</w:t>
      </w:r>
      <w:r>
        <w:rPr>
          <w:bCs/>
          <w:color w:val="404040" w:themeColor="text1" w:themeTint="BF"/>
          <w:lang w:eastAsia="cs-CZ"/>
        </w:rPr>
        <w:t xml:space="preserve"> </w:t>
      </w:r>
    </w:p>
    <w:p w14:paraId="547D741E" w14:textId="77777777" w:rsidR="008E5A64" w:rsidRDefault="000B2FB3" w:rsidP="008E5A64">
      <w:pPr>
        <w:pStyle w:val="Odstavecseseznamem"/>
        <w:spacing w:after="0"/>
        <w:ind w:left="0"/>
        <w:contextualSpacing w:val="0"/>
        <w:jc w:val="both"/>
        <w:rPr>
          <w:bCs/>
          <w:color w:val="404040" w:themeColor="text1" w:themeTint="BF"/>
          <w:lang w:eastAsia="cs-CZ"/>
        </w:rPr>
      </w:pPr>
      <w:r w:rsidRPr="00416C64">
        <w:rPr>
          <w:b/>
          <w:color w:val="404040" w:themeColor="text1" w:themeTint="BF"/>
          <w:lang w:eastAsia="cs-CZ"/>
        </w:rPr>
        <w:t>Odůvodnění:</w:t>
      </w:r>
    </w:p>
    <w:p w14:paraId="6CD7946D" w14:textId="1E55968D" w:rsidR="000B2FB3" w:rsidRDefault="000B2FB3" w:rsidP="008E5A64">
      <w:pPr>
        <w:pStyle w:val="Odstavecseseznamem"/>
        <w:spacing w:after="0"/>
        <w:ind w:left="0"/>
        <w:contextualSpacing w:val="0"/>
        <w:jc w:val="both"/>
        <w:rPr>
          <w:bCs/>
          <w:color w:val="404040" w:themeColor="text1" w:themeTint="BF"/>
          <w:lang w:eastAsia="cs-CZ"/>
        </w:rPr>
      </w:pPr>
      <w:r>
        <w:rPr>
          <w:bCs/>
          <w:color w:val="404040" w:themeColor="text1" w:themeTint="BF"/>
          <w:lang w:eastAsia="cs-CZ"/>
        </w:rPr>
        <w:t>Viz text připomínky.</w:t>
      </w:r>
    </w:p>
    <w:p w14:paraId="2B0E5CAF" w14:textId="77777777" w:rsidR="00C8539E" w:rsidRDefault="00C8539E" w:rsidP="008E5A64">
      <w:pPr>
        <w:pStyle w:val="Odstavecseseznamem"/>
        <w:spacing w:after="0"/>
        <w:ind w:left="0"/>
        <w:contextualSpacing w:val="0"/>
        <w:jc w:val="both"/>
        <w:rPr>
          <w:bCs/>
          <w:color w:val="404040" w:themeColor="text1" w:themeTint="BF"/>
          <w:lang w:eastAsia="cs-CZ"/>
        </w:rPr>
      </w:pPr>
    </w:p>
    <w:p w14:paraId="13FE1D2B" w14:textId="77777777" w:rsidR="00147F88" w:rsidRDefault="00147F88" w:rsidP="005F5317">
      <w:pPr>
        <w:pStyle w:val="Odstavecseseznamem"/>
        <w:spacing w:after="120"/>
        <w:ind w:left="0"/>
        <w:contextualSpacing w:val="0"/>
        <w:jc w:val="both"/>
        <w:rPr>
          <w:b/>
          <w:color w:val="404040" w:themeColor="text1" w:themeTint="BF"/>
          <w:lang w:eastAsia="cs-CZ"/>
        </w:rPr>
      </w:pPr>
      <w:r w:rsidRPr="00C56EBC">
        <w:rPr>
          <w:b/>
          <w:color w:val="404040" w:themeColor="text1" w:themeTint="BF"/>
          <w:lang w:eastAsia="cs-CZ"/>
        </w:rPr>
        <w:t xml:space="preserve">Tato připomínka je zásadní. </w:t>
      </w:r>
    </w:p>
    <w:p w14:paraId="1895592C" w14:textId="77777777" w:rsidR="00692565" w:rsidRPr="00511D82" w:rsidRDefault="00692565" w:rsidP="00511D82">
      <w:pPr>
        <w:pStyle w:val="Odstavecseseznamem"/>
        <w:spacing w:after="0"/>
        <w:ind w:left="284"/>
        <w:jc w:val="both"/>
        <w:rPr>
          <w:color w:val="404040" w:themeColor="text1" w:themeTint="BF"/>
          <w:lang w:eastAsia="cs-CZ"/>
        </w:rPr>
      </w:pPr>
    </w:p>
    <w:p w14:paraId="0040DFD6" w14:textId="77777777" w:rsidR="00792605" w:rsidRPr="004D65C6" w:rsidRDefault="00792605" w:rsidP="004D65C6">
      <w:pPr>
        <w:spacing w:after="0"/>
        <w:jc w:val="both"/>
        <w:rPr>
          <w:color w:val="404040" w:themeColor="text1" w:themeTint="BF"/>
          <w:lang w:eastAsia="cs-CZ"/>
        </w:rPr>
      </w:pPr>
    </w:p>
    <w:sectPr w:rsidR="00792605" w:rsidRPr="004D65C6" w:rsidSect="0066576E">
      <w:headerReference w:type="even" r:id="rId11"/>
      <w:headerReference w:type="default" r:id="rId12"/>
      <w:footerReference w:type="default" r:id="rId13"/>
      <w:headerReference w:type="first" r:id="rId14"/>
      <w:footerReference w:type="first" r:id="rId15"/>
      <w:pgSz w:w="11906" w:h="16838"/>
      <w:pgMar w:top="1418" w:right="1134" w:bottom="1418" w:left="1134" w:header="567" w:footer="19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4965" w14:textId="77777777" w:rsidR="00741FBD" w:rsidRDefault="00741FBD" w:rsidP="005F7548">
      <w:pPr>
        <w:spacing w:after="0" w:line="240" w:lineRule="auto"/>
      </w:pPr>
      <w:r>
        <w:separator/>
      </w:r>
    </w:p>
  </w:endnote>
  <w:endnote w:type="continuationSeparator" w:id="0">
    <w:p w14:paraId="1F0A22B4" w14:textId="77777777" w:rsidR="00741FBD" w:rsidRDefault="00741FBD" w:rsidP="005F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71AD" w14:textId="77777777" w:rsidR="00F216B8" w:rsidRDefault="00F216B8">
    <w:pPr>
      <w:pStyle w:val="Zpat"/>
    </w:pPr>
    <w:r>
      <w:rPr>
        <w:noProof/>
        <w:lang w:eastAsia="cs-CZ"/>
      </w:rPr>
      <mc:AlternateContent>
        <mc:Choice Requires="wps">
          <w:drawing>
            <wp:anchor distT="0" distB="0" distL="114300" distR="114300" simplePos="0" relativeHeight="251658242" behindDoc="0" locked="0" layoutInCell="1" allowOverlap="1" wp14:anchorId="0DDE1A1C" wp14:editId="1C9C69DC">
              <wp:simplePos x="0" y="0"/>
              <wp:positionH relativeFrom="margin">
                <wp:posOffset>5850890</wp:posOffset>
              </wp:positionH>
              <wp:positionV relativeFrom="paragraph">
                <wp:posOffset>374650</wp:posOffset>
              </wp:positionV>
              <wp:extent cx="374650" cy="245110"/>
              <wp:effectExtent l="0" t="0" r="0" b="0"/>
              <wp:wrapNone/>
              <wp:docPr id="34" name="Textové pol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C83F4" w14:textId="6EE2AD1F" w:rsidR="00F216B8" w:rsidRPr="00936EF5" w:rsidRDefault="00F216B8" w:rsidP="001946E4">
                          <w:pPr>
                            <w:jc w:val="right"/>
                            <w:rPr>
                              <w:color w:val="272154"/>
                            </w:rPr>
                          </w:pPr>
                          <w:r w:rsidRPr="00936EF5">
                            <w:rPr>
                              <w:color w:val="272154"/>
                            </w:rPr>
                            <w:fldChar w:fldCharType="begin"/>
                          </w:r>
                          <w:r w:rsidRPr="00936EF5">
                            <w:rPr>
                              <w:color w:val="272154"/>
                            </w:rPr>
                            <w:instrText>PAGE   \* MERGEFORMAT</w:instrText>
                          </w:r>
                          <w:r w:rsidRPr="00936EF5">
                            <w:rPr>
                              <w:color w:val="272154"/>
                            </w:rPr>
                            <w:fldChar w:fldCharType="separate"/>
                          </w:r>
                          <w:r w:rsidR="001E2062">
                            <w:rPr>
                              <w:noProof/>
                              <w:color w:val="272154"/>
                            </w:rPr>
                            <w:t>2</w:t>
                          </w:r>
                          <w:r w:rsidRPr="00936EF5">
                            <w:rPr>
                              <w:color w:val="27215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E1A1C" id="_x0000_t202" coordsize="21600,21600" o:spt="202" path="m,l,21600r21600,l21600,xe">
              <v:stroke joinstyle="miter"/>
              <v:path gradientshapeok="t" o:connecttype="rect"/>
            </v:shapetype>
            <v:shape id="Textové pole 34" o:spid="_x0000_s1028" type="#_x0000_t202" style="position:absolute;margin-left:460.7pt;margin-top:29.5pt;width:29.5pt;height:19.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" filled="f" stroked="f" strokeweight=".5pt">
              <v:textbox>
                <w:txbxContent>
                  <w:p w14:paraId="1C5C83F4" w14:textId="6EE2AD1F" w:rsidR="00F216B8" w:rsidRPr="00936EF5" w:rsidRDefault="00F216B8" w:rsidP="001946E4">
                    <w:pPr>
                      <w:jc w:val="right"/>
                      <w:rPr>
                        <w:color w:val="272154"/>
                      </w:rPr>
                    </w:pPr>
                    <w:r w:rsidRPr="00936EF5">
                      <w:rPr>
                        <w:color w:val="272154"/>
                      </w:rPr>
                      <w:fldChar w:fldCharType="begin"/>
                    </w:r>
                    <w:r w:rsidRPr="00936EF5">
                      <w:rPr>
                        <w:color w:val="272154"/>
                      </w:rPr>
                      <w:instrText>PAGE   \* MERGEFORMAT</w:instrText>
                    </w:r>
                    <w:r w:rsidRPr="00936EF5">
                      <w:rPr>
                        <w:color w:val="272154"/>
                      </w:rPr>
                      <w:fldChar w:fldCharType="separate"/>
                    </w:r>
                    <w:r w:rsidR="001E2062">
                      <w:rPr>
                        <w:noProof/>
                        <w:color w:val="272154"/>
                      </w:rPr>
                      <w:t>2</w:t>
                    </w:r>
                    <w:r w:rsidRPr="00936EF5">
                      <w:rPr>
                        <w:color w:val="27215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5FE1" w14:textId="77777777" w:rsidR="00F216B8" w:rsidRDefault="00F216B8">
    <w:pPr>
      <w:pStyle w:val="Zpat"/>
    </w:pPr>
    <w:r>
      <w:rPr>
        <w:noProof/>
        <w:lang w:eastAsia="cs-CZ"/>
      </w:rPr>
      <mc:AlternateContent>
        <mc:Choice Requires="wps">
          <w:drawing>
            <wp:anchor distT="0" distB="0" distL="114300" distR="114300" simplePos="0" relativeHeight="251658240" behindDoc="0" locked="0" layoutInCell="1" allowOverlap="1" wp14:anchorId="30F6C31E" wp14:editId="05A815E4">
              <wp:simplePos x="0" y="0"/>
              <wp:positionH relativeFrom="column">
                <wp:posOffset>32385</wp:posOffset>
              </wp:positionH>
              <wp:positionV relativeFrom="paragraph">
                <wp:posOffset>260350</wp:posOffset>
              </wp:positionV>
              <wp:extent cx="4161790" cy="73342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1790"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0BC57" w14:textId="7D82389F" w:rsidR="00F216B8" w:rsidRDefault="00F216B8" w:rsidP="00AA09C1">
                          <w:pPr>
                            <w:pStyle w:val="Zkladnodstavec"/>
                            <w:rPr>
                              <w:rFonts w:ascii="Calibri" w:hAnsi="Calibri" w:cs="Calibri"/>
                              <w:caps/>
                              <w:color w:val="0092D5"/>
                              <w:sz w:val="12"/>
                              <w:szCs w:val="12"/>
                            </w:rPr>
                          </w:pPr>
                          <w:proofErr w:type="gramStart"/>
                          <w:r w:rsidRPr="008059D9">
                            <w:rPr>
                              <w:rFonts w:ascii="Calibri" w:hAnsi="Calibri" w:cs="Calibri"/>
                              <w:caps/>
                              <w:color w:val="0093D6"/>
                              <w:sz w:val="12"/>
                              <w:szCs w:val="12"/>
                            </w:rPr>
                            <w:t>telefon</w:t>
                          </w:r>
                          <w:r>
                            <w:rPr>
                              <w:rFonts w:ascii="Calibri" w:hAnsi="Calibri" w:cs="Calibri"/>
                              <w:caps/>
                              <w:color w:val="0092D5"/>
                              <w:sz w:val="12"/>
                              <w:szCs w:val="12"/>
                            </w:rPr>
                            <w:t xml:space="preserve">  </w:t>
                          </w:r>
                          <w:r>
                            <w:rPr>
                              <w:rFonts w:ascii="Calibri" w:hAnsi="Calibri" w:cs="Calibri"/>
                              <w:caps/>
                              <w:color w:val="272154"/>
                              <w:sz w:val="16"/>
                              <w:szCs w:val="16"/>
                            </w:rPr>
                            <w:t>(</w:t>
                          </w:r>
                          <w:proofErr w:type="gramEnd"/>
                          <w:r>
                            <w:rPr>
                              <w:rFonts w:ascii="Calibri" w:hAnsi="Calibri" w:cs="Calibri"/>
                              <w:caps/>
                              <w:color w:val="272154"/>
                              <w:sz w:val="16"/>
                              <w:szCs w:val="16"/>
                            </w:rPr>
                            <w:t xml:space="preserve">+420) </w:t>
                          </w:r>
                          <w:r w:rsidR="00F17F79">
                            <w:rPr>
                              <w:rFonts w:ascii="Calibri" w:hAnsi="Calibri" w:cs="Calibri"/>
                              <w:caps/>
                              <w:color w:val="272154"/>
                              <w:sz w:val="16"/>
                              <w:szCs w:val="16"/>
                            </w:rPr>
                            <w:t xml:space="preserve">731 829 </w:t>
                          </w:r>
                          <w:proofErr w:type="gramStart"/>
                          <w:r w:rsidR="00F17F79">
                            <w:rPr>
                              <w:rFonts w:ascii="Calibri" w:hAnsi="Calibri" w:cs="Calibri"/>
                              <w:caps/>
                              <w:color w:val="272154"/>
                              <w:sz w:val="16"/>
                              <w:szCs w:val="16"/>
                            </w:rPr>
                            <w:t>128</w:t>
                          </w:r>
                          <w:r>
                            <w:rPr>
                              <w:rFonts w:ascii="Calibri" w:hAnsi="Calibri" w:cs="Calibri"/>
                              <w:caps/>
                              <w:color w:val="0092D5"/>
                              <w:sz w:val="12"/>
                              <w:szCs w:val="12"/>
                            </w:rPr>
                            <w:t xml:space="preserve">  </w:t>
                          </w:r>
                          <w:r w:rsidRPr="008059D9">
                            <w:rPr>
                              <w:rFonts w:ascii="Calibri" w:hAnsi="Calibri" w:cs="Calibri"/>
                              <w:caps/>
                              <w:color w:val="0093D6"/>
                              <w:sz w:val="12"/>
                              <w:szCs w:val="12"/>
                            </w:rPr>
                            <w:t>|</w:t>
                          </w:r>
                          <w:proofErr w:type="gramEnd"/>
                          <w:r w:rsidRPr="008059D9">
                            <w:rPr>
                              <w:rFonts w:ascii="Calibri" w:hAnsi="Calibri" w:cs="Calibri"/>
                              <w:caps/>
                              <w:color w:val="0093D6"/>
                              <w:sz w:val="12"/>
                              <w:szCs w:val="12"/>
                            </w:rPr>
                            <w:t xml:space="preserve">  </w:t>
                          </w:r>
                          <w:proofErr w:type="gramStart"/>
                          <w:r w:rsidRPr="008059D9">
                            <w:rPr>
                              <w:rFonts w:ascii="Calibri" w:hAnsi="Calibri" w:cs="Calibri"/>
                              <w:caps/>
                              <w:color w:val="0093D6"/>
                              <w:sz w:val="12"/>
                              <w:szCs w:val="12"/>
                            </w:rPr>
                            <w:t>E-mail</w:t>
                          </w:r>
                          <w:r>
                            <w:rPr>
                              <w:rFonts w:ascii="Calibri" w:hAnsi="Calibri" w:cs="Calibri"/>
                              <w:caps/>
                              <w:color w:val="0092D5"/>
                              <w:sz w:val="12"/>
                              <w:szCs w:val="12"/>
                            </w:rPr>
                            <w:t xml:space="preserve">  </w:t>
                          </w:r>
                          <w:r>
                            <w:rPr>
                              <w:rFonts w:ascii="Calibri" w:hAnsi="Calibri" w:cs="Calibri"/>
                              <w:caps/>
                              <w:color w:val="272154"/>
                              <w:sz w:val="16"/>
                              <w:szCs w:val="16"/>
                            </w:rPr>
                            <w:t>spcr@spcr.cz</w:t>
                          </w:r>
                          <w:proofErr w:type="gramEnd"/>
                        </w:p>
                        <w:p w14:paraId="093614B3" w14:textId="77777777" w:rsidR="00F216B8" w:rsidRPr="00820FF9" w:rsidRDefault="00F216B8" w:rsidP="00945BF2">
                          <w:pPr>
                            <w:rPr>
                              <w:caps/>
                            </w:rPr>
                          </w:pPr>
                          <w:proofErr w:type="gramStart"/>
                          <w:r w:rsidRPr="008059D9">
                            <w:rPr>
                              <w:rFonts w:ascii="Calibri" w:hAnsi="Calibri" w:cs="Calibri"/>
                              <w:caps/>
                              <w:color w:val="0093D6"/>
                              <w:sz w:val="12"/>
                              <w:szCs w:val="12"/>
                            </w:rPr>
                            <w:t>Web</w:t>
                          </w:r>
                          <w:r>
                            <w:rPr>
                              <w:rFonts w:ascii="Calibri" w:hAnsi="Calibri" w:cs="Calibri"/>
                              <w:caps/>
                              <w:color w:val="0092D5"/>
                              <w:sz w:val="12"/>
                              <w:szCs w:val="12"/>
                            </w:rPr>
                            <w:t xml:space="preserve">  </w:t>
                          </w:r>
                          <w:r>
                            <w:rPr>
                              <w:rFonts w:ascii="Calibri" w:hAnsi="Calibri" w:cs="Calibri"/>
                              <w:caps/>
                              <w:color w:val="272154"/>
                              <w:sz w:val="16"/>
                              <w:szCs w:val="16"/>
                            </w:rPr>
                            <w:t>www.spcr.cz</w:t>
                          </w:r>
                          <w:proofErr w:type="gramEnd"/>
                          <w:r>
                            <w:rPr>
                              <w:rFonts w:ascii="Calibri" w:hAnsi="Calibri" w:cs="Calibri"/>
                              <w:caps/>
                              <w:color w:val="0092D5"/>
                              <w:sz w:val="12"/>
                              <w:szCs w:val="12"/>
                            </w:rPr>
                            <w:t xml:space="preserve">  </w:t>
                          </w:r>
                          <w:proofErr w:type="gramStart"/>
                          <w:r w:rsidRPr="008059D9">
                            <w:rPr>
                              <w:rFonts w:ascii="Calibri" w:hAnsi="Calibri" w:cs="Calibri"/>
                              <w:caps/>
                              <w:color w:val="0093D6"/>
                              <w:sz w:val="12"/>
                              <w:szCs w:val="12"/>
                            </w:rPr>
                            <w:t>|  Adresa</w:t>
                          </w:r>
                          <w:proofErr w:type="gramEnd"/>
                          <w:r>
                            <w:rPr>
                              <w:rFonts w:ascii="Calibri" w:hAnsi="Calibri" w:cs="Calibri"/>
                              <w:caps/>
                              <w:color w:val="0092D5"/>
                              <w:sz w:val="12"/>
                              <w:szCs w:val="12"/>
                            </w:rPr>
                            <w:t xml:space="preserve">  </w:t>
                          </w:r>
                          <w:r>
                            <w:rPr>
                              <w:rFonts w:ascii="Calibri" w:hAnsi="Calibri" w:cs="Calibri"/>
                              <w:caps/>
                              <w:color w:val="272154"/>
                              <w:sz w:val="16"/>
                              <w:szCs w:val="16"/>
                            </w:rPr>
                            <w:t>Freyova 948/11, 190 00 Praha 9</w:t>
                          </w:r>
                          <w:r>
                            <w:rPr>
                              <w:rFonts w:ascii="Calibri" w:hAnsi="Calibri" w:cs="Calibri"/>
                              <w:caps/>
                              <w:color w:val="272154"/>
                              <w:sz w:val="16"/>
                              <w:szCs w:val="16"/>
                            </w:rPr>
                            <w:br/>
                          </w:r>
                          <w:r w:rsidRPr="008059D9">
                            <w:rPr>
                              <w:rFonts w:ascii="Calibri" w:hAnsi="Calibri" w:cs="Calibri"/>
                              <w:caps/>
                              <w:color w:val="0093D6"/>
                              <w:sz w:val="12"/>
                              <w:szCs w:val="12"/>
                            </w:rPr>
                            <w:t xml:space="preserve">Zapsaný ve spolkovém rejstříku, vedeném Městským soudem v Praze oddíl L, vložka 3148. </w:t>
                          </w:r>
                          <w:r w:rsidRPr="008059D9">
                            <w:rPr>
                              <w:rFonts w:ascii="Calibri" w:hAnsi="Calibri" w:cs="Calibri"/>
                              <w:caps/>
                              <w:color w:val="0093D6"/>
                              <w:sz w:val="12"/>
                              <w:szCs w:val="12"/>
                            </w:rPr>
                            <w:br/>
                            <w:t>IČ</w:t>
                          </w:r>
                          <w:r>
                            <w:rPr>
                              <w:rFonts w:ascii="Calibri" w:hAnsi="Calibri" w:cs="Calibri"/>
                              <w:caps/>
                              <w:color w:val="0093D6"/>
                              <w:sz w:val="12"/>
                              <w:szCs w:val="12"/>
                            </w:rPr>
                            <w:t>O</w:t>
                          </w:r>
                          <w:r w:rsidRPr="008059D9">
                            <w:rPr>
                              <w:rFonts w:ascii="Calibri" w:hAnsi="Calibri" w:cs="Calibri"/>
                              <w:caps/>
                              <w:color w:val="0093D6"/>
                              <w:sz w:val="12"/>
                              <w:szCs w:val="12"/>
                            </w:rPr>
                            <w:t>: 00536211, DIČ: CZ00536211.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6C31E" id="_x0000_t202" coordsize="21600,21600" o:spt="202" path="m,l,21600r21600,l21600,xe">
              <v:stroke joinstyle="miter"/>
              <v:path gradientshapeok="t" o:connecttype="rect"/>
            </v:shapetype>
            <v:shape id="_x0000_s1030" type="#_x0000_t202" style="position:absolute;margin-left:2.55pt;margin-top:20.5pt;width:327.7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" fillcolor="white [3201]" stroked="f" strokeweight=".5pt">
              <v:textbox inset="0,,0">
                <w:txbxContent>
                  <w:p w14:paraId="1AB0BC57" w14:textId="7D82389F" w:rsidR="00F216B8" w:rsidRDefault="00F216B8" w:rsidP="00AA09C1">
                    <w:pPr>
                      <w:pStyle w:val="Zkladnodstavec"/>
                      <w:rPr>
                        <w:rFonts w:ascii="Calibri" w:hAnsi="Calibri" w:cs="Calibri"/>
                        <w:caps/>
                        <w:color w:val="0092D5"/>
                        <w:sz w:val="12"/>
                        <w:szCs w:val="12"/>
                      </w:rPr>
                    </w:pPr>
                    <w:proofErr w:type="gramStart"/>
                    <w:r w:rsidRPr="008059D9">
                      <w:rPr>
                        <w:rFonts w:ascii="Calibri" w:hAnsi="Calibri" w:cs="Calibri"/>
                        <w:caps/>
                        <w:color w:val="0093D6"/>
                        <w:sz w:val="12"/>
                        <w:szCs w:val="12"/>
                      </w:rPr>
                      <w:t>telefon</w:t>
                    </w:r>
                    <w:r>
                      <w:rPr>
                        <w:rFonts w:ascii="Calibri" w:hAnsi="Calibri" w:cs="Calibri"/>
                        <w:caps/>
                        <w:color w:val="0092D5"/>
                        <w:sz w:val="12"/>
                        <w:szCs w:val="12"/>
                      </w:rPr>
                      <w:t xml:space="preserve">  </w:t>
                    </w:r>
                    <w:r>
                      <w:rPr>
                        <w:rFonts w:ascii="Calibri" w:hAnsi="Calibri" w:cs="Calibri"/>
                        <w:caps/>
                        <w:color w:val="272154"/>
                        <w:sz w:val="16"/>
                        <w:szCs w:val="16"/>
                      </w:rPr>
                      <w:t>(</w:t>
                    </w:r>
                    <w:proofErr w:type="gramEnd"/>
                    <w:r>
                      <w:rPr>
                        <w:rFonts w:ascii="Calibri" w:hAnsi="Calibri" w:cs="Calibri"/>
                        <w:caps/>
                        <w:color w:val="272154"/>
                        <w:sz w:val="16"/>
                        <w:szCs w:val="16"/>
                      </w:rPr>
                      <w:t xml:space="preserve">+420) </w:t>
                    </w:r>
                    <w:r w:rsidR="00F17F79">
                      <w:rPr>
                        <w:rFonts w:ascii="Calibri" w:hAnsi="Calibri" w:cs="Calibri"/>
                        <w:caps/>
                        <w:color w:val="272154"/>
                        <w:sz w:val="16"/>
                        <w:szCs w:val="16"/>
                      </w:rPr>
                      <w:t xml:space="preserve">731 829 </w:t>
                    </w:r>
                    <w:proofErr w:type="gramStart"/>
                    <w:r w:rsidR="00F17F79">
                      <w:rPr>
                        <w:rFonts w:ascii="Calibri" w:hAnsi="Calibri" w:cs="Calibri"/>
                        <w:caps/>
                        <w:color w:val="272154"/>
                        <w:sz w:val="16"/>
                        <w:szCs w:val="16"/>
                      </w:rPr>
                      <w:t>128</w:t>
                    </w:r>
                    <w:r>
                      <w:rPr>
                        <w:rFonts w:ascii="Calibri" w:hAnsi="Calibri" w:cs="Calibri"/>
                        <w:caps/>
                        <w:color w:val="0092D5"/>
                        <w:sz w:val="12"/>
                        <w:szCs w:val="12"/>
                      </w:rPr>
                      <w:t xml:space="preserve">  </w:t>
                    </w:r>
                    <w:r w:rsidRPr="008059D9">
                      <w:rPr>
                        <w:rFonts w:ascii="Calibri" w:hAnsi="Calibri" w:cs="Calibri"/>
                        <w:caps/>
                        <w:color w:val="0093D6"/>
                        <w:sz w:val="12"/>
                        <w:szCs w:val="12"/>
                      </w:rPr>
                      <w:t>|</w:t>
                    </w:r>
                    <w:proofErr w:type="gramEnd"/>
                    <w:r w:rsidRPr="008059D9">
                      <w:rPr>
                        <w:rFonts w:ascii="Calibri" w:hAnsi="Calibri" w:cs="Calibri"/>
                        <w:caps/>
                        <w:color w:val="0093D6"/>
                        <w:sz w:val="12"/>
                        <w:szCs w:val="12"/>
                      </w:rPr>
                      <w:t xml:space="preserve">  </w:t>
                    </w:r>
                    <w:proofErr w:type="gramStart"/>
                    <w:r w:rsidRPr="008059D9">
                      <w:rPr>
                        <w:rFonts w:ascii="Calibri" w:hAnsi="Calibri" w:cs="Calibri"/>
                        <w:caps/>
                        <w:color w:val="0093D6"/>
                        <w:sz w:val="12"/>
                        <w:szCs w:val="12"/>
                      </w:rPr>
                      <w:t>E-mail</w:t>
                    </w:r>
                    <w:r>
                      <w:rPr>
                        <w:rFonts w:ascii="Calibri" w:hAnsi="Calibri" w:cs="Calibri"/>
                        <w:caps/>
                        <w:color w:val="0092D5"/>
                        <w:sz w:val="12"/>
                        <w:szCs w:val="12"/>
                      </w:rPr>
                      <w:t xml:space="preserve">  </w:t>
                    </w:r>
                    <w:r>
                      <w:rPr>
                        <w:rFonts w:ascii="Calibri" w:hAnsi="Calibri" w:cs="Calibri"/>
                        <w:caps/>
                        <w:color w:val="272154"/>
                        <w:sz w:val="16"/>
                        <w:szCs w:val="16"/>
                      </w:rPr>
                      <w:t>spcr@spcr.cz</w:t>
                    </w:r>
                    <w:proofErr w:type="gramEnd"/>
                  </w:p>
                  <w:p w14:paraId="093614B3" w14:textId="77777777" w:rsidR="00F216B8" w:rsidRPr="00820FF9" w:rsidRDefault="00F216B8" w:rsidP="00945BF2">
                    <w:pPr>
                      <w:rPr>
                        <w:caps/>
                      </w:rPr>
                    </w:pPr>
                    <w:proofErr w:type="gramStart"/>
                    <w:r w:rsidRPr="008059D9">
                      <w:rPr>
                        <w:rFonts w:ascii="Calibri" w:hAnsi="Calibri" w:cs="Calibri"/>
                        <w:caps/>
                        <w:color w:val="0093D6"/>
                        <w:sz w:val="12"/>
                        <w:szCs w:val="12"/>
                      </w:rPr>
                      <w:t>Web</w:t>
                    </w:r>
                    <w:r>
                      <w:rPr>
                        <w:rFonts w:ascii="Calibri" w:hAnsi="Calibri" w:cs="Calibri"/>
                        <w:caps/>
                        <w:color w:val="0092D5"/>
                        <w:sz w:val="12"/>
                        <w:szCs w:val="12"/>
                      </w:rPr>
                      <w:t xml:space="preserve">  </w:t>
                    </w:r>
                    <w:r>
                      <w:rPr>
                        <w:rFonts w:ascii="Calibri" w:hAnsi="Calibri" w:cs="Calibri"/>
                        <w:caps/>
                        <w:color w:val="272154"/>
                        <w:sz w:val="16"/>
                        <w:szCs w:val="16"/>
                      </w:rPr>
                      <w:t>www.spcr.cz</w:t>
                    </w:r>
                    <w:proofErr w:type="gramEnd"/>
                    <w:r>
                      <w:rPr>
                        <w:rFonts w:ascii="Calibri" w:hAnsi="Calibri" w:cs="Calibri"/>
                        <w:caps/>
                        <w:color w:val="0092D5"/>
                        <w:sz w:val="12"/>
                        <w:szCs w:val="12"/>
                      </w:rPr>
                      <w:t xml:space="preserve">  </w:t>
                    </w:r>
                    <w:proofErr w:type="gramStart"/>
                    <w:r w:rsidRPr="008059D9">
                      <w:rPr>
                        <w:rFonts w:ascii="Calibri" w:hAnsi="Calibri" w:cs="Calibri"/>
                        <w:caps/>
                        <w:color w:val="0093D6"/>
                        <w:sz w:val="12"/>
                        <w:szCs w:val="12"/>
                      </w:rPr>
                      <w:t>|  Adresa</w:t>
                    </w:r>
                    <w:proofErr w:type="gramEnd"/>
                    <w:r>
                      <w:rPr>
                        <w:rFonts w:ascii="Calibri" w:hAnsi="Calibri" w:cs="Calibri"/>
                        <w:caps/>
                        <w:color w:val="0092D5"/>
                        <w:sz w:val="12"/>
                        <w:szCs w:val="12"/>
                      </w:rPr>
                      <w:t xml:space="preserve">  </w:t>
                    </w:r>
                    <w:r>
                      <w:rPr>
                        <w:rFonts w:ascii="Calibri" w:hAnsi="Calibri" w:cs="Calibri"/>
                        <w:caps/>
                        <w:color w:val="272154"/>
                        <w:sz w:val="16"/>
                        <w:szCs w:val="16"/>
                      </w:rPr>
                      <w:t>Freyova 948/11, 190 00 Praha 9</w:t>
                    </w:r>
                    <w:r>
                      <w:rPr>
                        <w:rFonts w:ascii="Calibri" w:hAnsi="Calibri" w:cs="Calibri"/>
                        <w:caps/>
                        <w:color w:val="272154"/>
                        <w:sz w:val="16"/>
                        <w:szCs w:val="16"/>
                      </w:rPr>
                      <w:br/>
                    </w:r>
                    <w:r w:rsidRPr="008059D9">
                      <w:rPr>
                        <w:rFonts w:ascii="Calibri" w:hAnsi="Calibri" w:cs="Calibri"/>
                        <w:caps/>
                        <w:color w:val="0093D6"/>
                        <w:sz w:val="12"/>
                        <w:szCs w:val="12"/>
                      </w:rPr>
                      <w:t xml:space="preserve">Zapsaný ve spolkovém rejstříku, vedeném Městským soudem v Praze oddíl L, vložka 3148. </w:t>
                    </w:r>
                    <w:r w:rsidRPr="008059D9">
                      <w:rPr>
                        <w:rFonts w:ascii="Calibri" w:hAnsi="Calibri" w:cs="Calibri"/>
                        <w:caps/>
                        <w:color w:val="0093D6"/>
                        <w:sz w:val="12"/>
                        <w:szCs w:val="12"/>
                      </w:rPr>
                      <w:br/>
                      <w:t>IČ</w:t>
                    </w:r>
                    <w:r>
                      <w:rPr>
                        <w:rFonts w:ascii="Calibri" w:hAnsi="Calibri" w:cs="Calibri"/>
                        <w:caps/>
                        <w:color w:val="0093D6"/>
                        <w:sz w:val="12"/>
                        <w:szCs w:val="12"/>
                      </w:rPr>
                      <w:t>O</w:t>
                    </w:r>
                    <w:r w:rsidRPr="008059D9">
                      <w:rPr>
                        <w:rFonts w:ascii="Calibri" w:hAnsi="Calibri" w:cs="Calibri"/>
                        <w:caps/>
                        <w:color w:val="0093D6"/>
                        <w:sz w:val="12"/>
                        <w:szCs w:val="12"/>
                      </w:rPr>
                      <w:t>: 00536211, DIČ: CZ00536211.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1212" w14:textId="77777777" w:rsidR="00741FBD" w:rsidRDefault="00741FBD" w:rsidP="005F7548">
      <w:pPr>
        <w:spacing w:after="0" w:line="240" w:lineRule="auto"/>
      </w:pPr>
      <w:r>
        <w:separator/>
      </w:r>
    </w:p>
  </w:footnote>
  <w:footnote w:type="continuationSeparator" w:id="0">
    <w:p w14:paraId="5B35CAF1" w14:textId="77777777" w:rsidR="00741FBD" w:rsidRDefault="00741FBD" w:rsidP="005F7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C94C" w14:textId="6361975A" w:rsidR="00005ED5" w:rsidRDefault="00005ED5">
    <w:pPr>
      <w:pStyle w:val="Zhlav"/>
    </w:pPr>
    <w:r>
      <w:rPr>
        <w:noProof/>
      </w:rPr>
      <mc:AlternateContent>
        <mc:Choice Requires="wps">
          <w:drawing>
            <wp:anchor distT="0" distB="0" distL="0" distR="0" simplePos="0" relativeHeight="251658244" behindDoc="0" locked="0" layoutInCell="1" allowOverlap="1" wp14:anchorId="350BFD25" wp14:editId="6FB27D6F">
              <wp:simplePos x="635" y="635"/>
              <wp:positionH relativeFrom="page">
                <wp:align>center</wp:align>
              </wp:positionH>
              <wp:positionV relativeFrom="page">
                <wp:align>top</wp:align>
              </wp:positionV>
              <wp:extent cx="494030" cy="314960"/>
              <wp:effectExtent l="0" t="0" r="1270" b="8890"/>
              <wp:wrapNone/>
              <wp:docPr id="441128157" name="Textové pole 4"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14960"/>
                      </a:xfrm>
                      <a:prstGeom prst="rect">
                        <a:avLst/>
                      </a:prstGeom>
                      <a:noFill/>
                      <a:ln>
                        <a:noFill/>
                      </a:ln>
                    </wps:spPr>
                    <wps:txbx>
                      <w:txbxContent>
                        <w:p w14:paraId="28CB1B2E" w14:textId="12DE6F95" w:rsidR="00005ED5" w:rsidRPr="00005ED5" w:rsidRDefault="00005ED5" w:rsidP="00005ED5">
                          <w:pPr>
                            <w:spacing w:after="0"/>
                            <w:rPr>
                              <w:rFonts w:ascii="Verdana" w:eastAsia="Verdana" w:hAnsi="Verdana" w:cs="Verdana"/>
                              <w:noProof/>
                              <w:color w:val="000000"/>
                              <w:sz w:val="14"/>
                              <w:szCs w:val="14"/>
                            </w:rPr>
                          </w:pPr>
                          <w:r w:rsidRPr="00005ED5">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BFD25" id="_x0000_t202" coordsize="21600,21600" o:spt="202" path="m,l,21600r21600,l21600,xe">
              <v:stroke joinstyle="miter"/>
              <v:path gradientshapeok="t" o:connecttype="rect"/>
            </v:shapetype>
            <v:shape id="Textové pole 4" o:spid="_x0000_s1026" type="#_x0000_t202" alt="SŽ: Interní" style="position:absolute;margin-left:0;margin-top:0;width:38.9pt;height:24.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" filled="f" stroked="f">
              <v:textbox style="mso-fit-shape-to-text:t" inset="0,15pt,0,0">
                <w:txbxContent>
                  <w:p w14:paraId="28CB1B2E" w14:textId="12DE6F95" w:rsidR="00005ED5" w:rsidRPr="00005ED5" w:rsidRDefault="00005ED5" w:rsidP="00005ED5">
                    <w:pPr>
                      <w:spacing w:after="0"/>
                      <w:rPr>
                        <w:rFonts w:ascii="Verdana" w:eastAsia="Verdana" w:hAnsi="Verdana" w:cs="Verdana"/>
                        <w:noProof/>
                        <w:color w:val="000000"/>
                        <w:sz w:val="14"/>
                        <w:szCs w:val="14"/>
                      </w:rPr>
                    </w:pPr>
                    <w:r w:rsidRPr="00005ED5">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0034" w14:textId="31F85354" w:rsidR="00005ED5" w:rsidRDefault="00005ED5">
    <w:pPr>
      <w:pStyle w:val="Zhlav"/>
    </w:pPr>
    <w:r>
      <w:rPr>
        <w:noProof/>
      </w:rPr>
      <mc:AlternateContent>
        <mc:Choice Requires="wps">
          <w:drawing>
            <wp:anchor distT="0" distB="0" distL="0" distR="0" simplePos="0" relativeHeight="251658245" behindDoc="0" locked="0" layoutInCell="1" allowOverlap="1" wp14:anchorId="204C4C63" wp14:editId="30DD1A08">
              <wp:simplePos x="0" y="0"/>
              <wp:positionH relativeFrom="page">
                <wp:posOffset>3168650</wp:posOffset>
              </wp:positionH>
              <wp:positionV relativeFrom="page">
                <wp:align>top</wp:align>
              </wp:positionV>
              <wp:extent cx="621665" cy="584200"/>
              <wp:effectExtent l="0" t="0" r="6985" b="6350"/>
              <wp:wrapNone/>
              <wp:docPr id="1780605566" name="Textové pole 5"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1665" cy="584200"/>
                      </a:xfrm>
                      <a:prstGeom prst="rect">
                        <a:avLst/>
                      </a:prstGeom>
                      <a:noFill/>
                      <a:ln>
                        <a:noFill/>
                      </a:ln>
                    </wps:spPr>
                    <wps:txbx>
                      <w:txbxContent>
                        <w:p w14:paraId="2D4E68DB" w14:textId="2D3C7EE6" w:rsidR="00005ED5" w:rsidRPr="00005ED5" w:rsidRDefault="00005ED5" w:rsidP="00005ED5">
                          <w:pPr>
                            <w:spacing w:after="0"/>
                            <w:rPr>
                              <w:rFonts w:ascii="Verdana" w:eastAsia="Verdana" w:hAnsi="Verdana" w:cs="Verdana"/>
                              <w:noProof/>
                              <w:color w:val="000000"/>
                              <w:sz w:val="14"/>
                              <w:szCs w:val="14"/>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C4C63" id="_x0000_t202" coordsize="21600,21600" o:spt="202" path="m,l,21600r21600,l21600,xe">
              <v:stroke joinstyle="miter"/>
              <v:path gradientshapeok="t" o:connecttype="rect"/>
            </v:shapetype>
            <v:shape id="Textové pole 5" o:spid="_x0000_s1027" type="#_x0000_t202" alt="SŽ: Interní" style="position:absolute;margin-left:249.5pt;margin-top:0;width:48.95pt;height:46pt;z-index:251658245;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" filled="f" stroked="f">
              <v:textbox inset="0,15pt,0,0">
                <w:txbxContent>
                  <w:p w14:paraId="2D4E68DB" w14:textId="2D3C7EE6" w:rsidR="00005ED5" w:rsidRPr="00005ED5" w:rsidRDefault="00005ED5" w:rsidP="00005ED5">
                    <w:pPr>
                      <w:spacing w:after="0"/>
                      <w:rPr>
                        <w:rFonts w:ascii="Verdana" w:eastAsia="Verdana" w:hAnsi="Verdana" w:cs="Verdana"/>
                        <w:noProof/>
                        <w:color w:val="000000"/>
                        <w:sz w:val="14"/>
                        <w:szCs w:val="1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8EED" w14:textId="55958023" w:rsidR="00F216B8" w:rsidRDefault="00005ED5">
    <w:pPr>
      <w:pStyle w:val="Zhlav"/>
    </w:pPr>
    <w:r>
      <w:rPr>
        <w:noProof/>
        <w:lang w:eastAsia="cs-CZ"/>
      </w:rPr>
      <mc:AlternateContent>
        <mc:Choice Requires="wps">
          <w:drawing>
            <wp:anchor distT="0" distB="0" distL="0" distR="0" simplePos="0" relativeHeight="251658243" behindDoc="0" locked="0" layoutInCell="1" allowOverlap="1" wp14:anchorId="5A9CF03F" wp14:editId="2575EDF1">
              <wp:simplePos x="723900" y="361950"/>
              <wp:positionH relativeFrom="page">
                <wp:align>center</wp:align>
              </wp:positionH>
              <wp:positionV relativeFrom="page">
                <wp:align>top</wp:align>
              </wp:positionV>
              <wp:extent cx="494030" cy="314960"/>
              <wp:effectExtent l="0" t="0" r="1270" b="8890"/>
              <wp:wrapNone/>
              <wp:docPr id="1808455185" name="Textové pole 3"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14960"/>
                      </a:xfrm>
                      <a:prstGeom prst="rect">
                        <a:avLst/>
                      </a:prstGeom>
                      <a:noFill/>
                      <a:ln>
                        <a:noFill/>
                      </a:ln>
                    </wps:spPr>
                    <wps:txbx>
                      <w:txbxContent>
                        <w:p w14:paraId="43C7F189" w14:textId="34498BE9" w:rsidR="00005ED5" w:rsidRPr="00005ED5" w:rsidRDefault="00005ED5" w:rsidP="00005ED5">
                          <w:pPr>
                            <w:spacing w:after="0"/>
                            <w:rPr>
                              <w:rFonts w:ascii="Verdana" w:eastAsia="Verdana" w:hAnsi="Verdana" w:cs="Verdana"/>
                              <w:noProof/>
                              <w:color w:val="000000"/>
                              <w:sz w:val="14"/>
                              <w:szCs w:val="1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9CF03F" id="_x0000_t202" coordsize="21600,21600" o:spt="202" path="m,l,21600r21600,l21600,xe">
              <v:stroke joinstyle="miter"/>
              <v:path gradientshapeok="t" o:connecttype="rect"/>
            </v:shapetype>
            <v:shape id="Textové pole 3" o:spid="_x0000_s1029" type="#_x0000_t202" alt="SŽ: Interní" style="position:absolute;margin-left:0;margin-top:0;width:38.9pt;height:24.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" filled="f" stroked="f">
              <v:textbox style="mso-fit-shape-to-text:t" inset="0,15pt,0,0">
                <w:txbxContent>
                  <w:p w14:paraId="43C7F189" w14:textId="34498BE9" w:rsidR="00005ED5" w:rsidRPr="00005ED5" w:rsidRDefault="00005ED5" w:rsidP="00005ED5">
                    <w:pPr>
                      <w:spacing w:after="0"/>
                      <w:rPr>
                        <w:rFonts w:ascii="Verdana" w:eastAsia="Verdana" w:hAnsi="Verdana" w:cs="Verdana"/>
                        <w:noProof/>
                        <w:color w:val="000000"/>
                        <w:sz w:val="14"/>
                        <w:szCs w:val="14"/>
                      </w:rPr>
                    </w:pPr>
                  </w:p>
                </w:txbxContent>
              </v:textbox>
              <w10:wrap anchorx="page" anchory="page"/>
            </v:shape>
          </w:pict>
        </mc:Fallback>
      </mc:AlternateContent>
    </w:r>
    <w:r w:rsidR="00F216B8">
      <w:rPr>
        <w:noProof/>
        <w:lang w:eastAsia="cs-CZ"/>
      </w:rPr>
      <w:drawing>
        <wp:anchor distT="0" distB="0" distL="114300" distR="114300" simplePos="0" relativeHeight="251658241" behindDoc="0" locked="0" layoutInCell="1" allowOverlap="1" wp14:anchorId="3795CD8D" wp14:editId="08FB6FA5">
          <wp:simplePos x="0" y="0"/>
          <wp:positionH relativeFrom="column">
            <wp:posOffset>35560</wp:posOffset>
          </wp:positionH>
          <wp:positionV relativeFrom="paragraph">
            <wp:posOffset>236220</wp:posOffset>
          </wp:positionV>
          <wp:extent cx="2354400" cy="720000"/>
          <wp:effectExtent l="0" t="0" r="0" b="444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354400" cy="72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87"/>
    <w:multiLevelType w:val="hybridMultilevel"/>
    <w:tmpl w:val="98D826E8"/>
    <w:lvl w:ilvl="0" w:tplc="04050019">
      <w:start w:val="1"/>
      <w:numFmt w:val="lowerLetter"/>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5B92915"/>
    <w:multiLevelType w:val="hybridMultilevel"/>
    <w:tmpl w:val="98D826E8"/>
    <w:lvl w:ilvl="0" w:tplc="04050019">
      <w:start w:val="1"/>
      <w:numFmt w:val="lowerLetter"/>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CC079A"/>
    <w:multiLevelType w:val="hybridMultilevel"/>
    <w:tmpl w:val="4C222B04"/>
    <w:lvl w:ilvl="0" w:tplc="31C6FC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BA3163B"/>
    <w:multiLevelType w:val="hybridMultilevel"/>
    <w:tmpl w:val="FD182388"/>
    <w:lvl w:ilvl="0" w:tplc="4CBC61F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12187A"/>
    <w:multiLevelType w:val="multilevel"/>
    <w:tmpl w:val="70B67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2591E"/>
    <w:multiLevelType w:val="hybridMultilevel"/>
    <w:tmpl w:val="10366332"/>
    <w:lvl w:ilvl="0" w:tplc="E2465444">
      <w:start w:val="1"/>
      <w:numFmt w:val="decimal"/>
      <w:lvlText w:val="%1."/>
      <w:lvlJc w:val="left"/>
      <w:pPr>
        <w:tabs>
          <w:tab w:val="num" w:pos="284"/>
        </w:tabs>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4C0668"/>
    <w:multiLevelType w:val="hybridMultilevel"/>
    <w:tmpl w:val="A0821BAC"/>
    <w:lvl w:ilvl="0" w:tplc="1BB2E7A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91B52C8"/>
    <w:multiLevelType w:val="multilevel"/>
    <w:tmpl w:val="08C0F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2309F"/>
    <w:multiLevelType w:val="hybridMultilevel"/>
    <w:tmpl w:val="98D826E8"/>
    <w:lvl w:ilvl="0" w:tplc="04050019">
      <w:start w:val="1"/>
      <w:numFmt w:val="lowerLetter"/>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98533BC"/>
    <w:multiLevelType w:val="hybridMultilevel"/>
    <w:tmpl w:val="02C6D55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20935155"/>
    <w:multiLevelType w:val="hybridMultilevel"/>
    <w:tmpl w:val="98D826E8"/>
    <w:lvl w:ilvl="0" w:tplc="04050019">
      <w:start w:val="1"/>
      <w:numFmt w:val="lowerLetter"/>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209793E"/>
    <w:multiLevelType w:val="multilevel"/>
    <w:tmpl w:val="340403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C322FF"/>
    <w:multiLevelType w:val="hybridMultilevel"/>
    <w:tmpl w:val="98D826E8"/>
    <w:lvl w:ilvl="0" w:tplc="04050019">
      <w:start w:val="1"/>
      <w:numFmt w:val="lowerLetter"/>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8160B35"/>
    <w:multiLevelType w:val="hybridMultilevel"/>
    <w:tmpl w:val="A75016E8"/>
    <w:lvl w:ilvl="0" w:tplc="0405000F">
      <w:start w:val="1"/>
      <w:numFmt w:val="decimal"/>
      <w:lvlText w:val="%1."/>
      <w:lvlJc w:val="left"/>
      <w:pPr>
        <w:ind w:left="720" w:hanging="360"/>
      </w:pPr>
      <w:rPr>
        <w:rFonts w:hint="default"/>
        <w:b/>
        <w:i w:val="0"/>
        <w:spacing w:val="0"/>
        <w:w w:val="100"/>
        <w:kern w:val="0"/>
        <w:position w:val="0"/>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5C0E0C"/>
    <w:multiLevelType w:val="hybridMultilevel"/>
    <w:tmpl w:val="98D826E8"/>
    <w:lvl w:ilvl="0" w:tplc="04050019">
      <w:start w:val="1"/>
      <w:numFmt w:val="lowerLetter"/>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9105806"/>
    <w:multiLevelType w:val="multilevel"/>
    <w:tmpl w:val="5C78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B4328"/>
    <w:multiLevelType w:val="hybridMultilevel"/>
    <w:tmpl w:val="98E05074"/>
    <w:lvl w:ilvl="0" w:tplc="13CE032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40124545"/>
    <w:multiLevelType w:val="hybridMultilevel"/>
    <w:tmpl w:val="10366332"/>
    <w:lvl w:ilvl="0" w:tplc="FFFFFFFF">
      <w:start w:val="1"/>
      <w:numFmt w:val="decimal"/>
      <w:lvlText w:val="%1."/>
      <w:lvlJc w:val="left"/>
      <w:pPr>
        <w:tabs>
          <w:tab w:val="num" w:pos="284"/>
        </w:tabs>
        <w:ind w:left="0" w:firstLine="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8144F7"/>
    <w:multiLevelType w:val="hybridMultilevel"/>
    <w:tmpl w:val="DEBED098"/>
    <w:lvl w:ilvl="0" w:tplc="2C2045A2">
      <w:numFmt w:val="bullet"/>
      <w:lvlText w:val=""/>
      <w:lvlJc w:val="left"/>
      <w:pPr>
        <w:ind w:left="435" w:hanging="360"/>
      </w:pPr>
      <w:rPr>
        <w:rFonts w:ascii="Symbol" w:eastAsia="Aptos" w:hAnsi="Symbol" w:cs="Times New Roman" w:hint="default"/>
      </w:rPr>
    </w:lvl>
    <w:lvl w:ilvl="1" w:tplc="04050003">
      <w:start w:val="1"/>
      <w:numFmt w:val="bullet"/>
      <w:lvlText w:val="o"/>
      <w:lvlJc w:val="left"/>
      <w:pPr>
        <w:ind w:left="1155" w:hanging="360"/>
      </w:pPr>
      <w:rPr>
        <w:rFonts w:ascii="Courier New" w:hAnsi="Courier New" w:cs="Courier New" w:hint="default"/>
      </w:rPr>
    </w:lvl>
    <w:lvl w:ilvl="2" w:tplc="04050005">
      <w:start w:val="1"/>
      <w:numFmt w:val="bullet"/>
      <w:lvlText w:val=""/>
      <w:lvlJc w:val="left"/>
      <w:pPr>
        <w:ind w:left="1875" w:hanging="360"/>
      </w:pPr>
      <w:rPr>
        <w:rFonts w:ascii="Wingdings" w:hAnsi="Wingdings" w:hint="default"/>
      </w:rPr>
    </w:lvl>
    <w:lvl w:ilvl="3" w:tplc="04050001">
      <w:start w:val="1"/>
      <w:numFmt w:val="bullet"/>
      <w:lvlText w:val=""/>
      <w:lvlJc w:val="left"/>
      <w:pPr>
        <w:ind w:left="2595" w:hanging="360"/>
      </w:pPr>
      <w:rPr>
        <w:rFonts w:ascii="Symbol" w:hAnsi="Symbol" w:hint="default"/>
      </w:rPr>
    </w:lvl>
    <w:lvl w:ilvl="4" w:tplc="04050003">
      <w:start w:val="1"/>
      <w:numFmt w:val="bullet"/>
      <w:lvlText w:val="o"/>
      <w:lvlJc w:val="left"/>
      <w:pPr>
        <w:ind w:left="3315" w:hanging="360"/>
      </w:pPr>
      <w:rPr>
        <w:rFonts w:ascii="Courier New" w:hAnsi="Courier New" w:cs="Courier New" w:hint="default"/>
      </w:rPr>
    </w:lvl>
    <w:lvl w:ilvl="5" w:tplc="04050005">
      <w:start w:val="1"/>
      <w:numFmt w:val="bullet"/>
      <w:lvlText w:val=""/>
      <w:lvlJc w:val="left"/>
      <w:pPr>
        <w:ind w:left="4035" w:hanging="360"/>
      </w:pPr>
      <w:rPr>
        <w:rFonts w:ascii="Wingdings" w:hAnsi="Wingdings" w:hint="default"/>
      </w:rPr>
    </w:lvl>
    <w:lvl w:ilvl="6" w:tplc="04050001">
      <w:start w:val="1"/>
      <w:numFmt w:val="bullet"/>
      <w:lvlText w:val=""/>
      <w:lvlJc w:val="left"/>
      <w:pPr>
        <w:ind w:left="4755" w:hanging="360"/>
      </w:pPr>
      <w:rPr>
        <w:rFonts w:ascii="Symbol" w:hAnsi="Symbol" w:hint="default"/>
      </w:rPr>
    </w:lvl>
    <w:lvl w:ilvl="7" w:tplc="04050003">
      <w:start w:val="1"/>
      <w:numFmt w:val="bullet"/>
      <w:lvlText w:val="o"/>
      <w:lvlJc w:val="left"/>
      <w:pPr>
        <w:ind w:left="5475" w:hanging="360"/>
      </w:pPr>
      <w:rPr>
        <w:rFonts w:ascii="Courier New" w:hAnsi="Courier New" w:cs="Courier New" w:hint="default"/>
      </w:rPr>
    </w:lvl>
    <w:lvl w:ilvl="8" w:tplc="04050005">
      <w:start w:val="1"/>
      <w:numFmt w:val="bullet"/>
      <w:lvlText w:val=""/>
      <w:lvlJc w:val="left"/>
      <w:pPr>
        <w:ind w:left="6195" w:hanging="360"/>
      </w:pPr>
      <w:rPr>
        <w:rFonts w:ascii="Wingdings" w:hAnsi="Wingdings" w:hint="default"/>
      </w:rPr>
    </w:lvl>
  </w:abstractNum>
  <w:abstractNum w:abstractNumId="19" w15:restartNumberingAfterBreak="0">
    <w:nsid w:val="43F41810"/>
    <w:multiLevelType w:val="multilevel"/>
    <w:tmpl w:val="C32C0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17E0A"/>
    <w:multiLevelType w:val="hybridMultilevel"/>
    <w:tmpl w:val="99C242D8"/>
    <w:lvl w:ilvl="0" w:tplc="DEE6B4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4FD84DB2"/>
    <w:multiLevelType w:val="hybridMultilevel"/>
    <w:tmpl w:val="2E502D92"/>
    <w:lvl w:ilvl="0" w:tplc="8646A7E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521F2B6B"/>
    <w:multiLevelType w:val="hybridMultilevel"/>
    <w:tmpl w:val="98D826E8"/>
    <w:lvl w:ilvl="0" w:tplc="04050019">
      <w:start w:val="1"/>
      <w:numFmt w:val="lowerLetter"/>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7285E95"/>
    <w:multiLevelType w:val="hybridMultilevel"/>
    <w:tmpl w:val="7A1C1976"/>
    <w:lvl w:ilvl="0" w:tplc="FFFFFFFF">
      <w:start w:val="1"/>
      <w:numFmt w:val="decimal"/>
      <w:lvlText w:val="%1."/>
      <w:lvlJc w:val="left"/>
      <w:pPr>
        <w:tabs>
          <w:tab w:val="num" w:pos="284"/>
        </w:tabs>
        <w:ind w:left="0" w:firstLine="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51645E"/>
    <w:multiLevelType w:val="hybridMultilevel"/>
    <w:tmpl w:val="6700DD7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607E0CDC"/>
    <w:multiLevelType w:val="hybridMultilevel"/>
    <w:tmpl w:val="98D826E8"/>
    <w:lvl w:ilvl="0" w:tplc="04050019">
      <w:start w:val="1"/>
      <w:numFmt w:val="lowerLetter"/>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1195370"/>
    <w:multiLevelType w:val="hybridMultilevel"/>
    <w:tmpl w:val="6D4A1D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2676E5"/>
    <w:multiLevelType w:val="hybridMultilevel"/>
    <w:tmpl w:val="0952F694"/>
    <w:lvl w:ilvl="0" w:tplc="D318E58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AF50823"/>
    <w:multiLevelType w:val="hybridMultilevel"/>
    <w:tmpl w:val="E5F20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340500"/>
    <w:multiLevelType w:val="hybridMultilevel"/>
    <w:tmpl w:val="250A5708"/>
    <w:lvl w:ilvl="0" w:tplc="650E5158">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1111A7"/>
    <w:multiLevelType w:val="hybridMultilevel"/>
    <w:tmpl w:val="98D826E8"/>
    <w:lvl w:ilvl="0" w:tplc="04050019">
      <w:start w:val="1"/>
      <w:numFmt w:val="lowerLetter"/>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B4429A3"/>
    <w:multiLevelType w:val="hybridMultilevel"/>
    <w:tmpl w:val="08087C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9541784">
    <w:abstractNumId w:val="31"/>
  </w:num>
  <w:num w:numId="2" w16cid:durableId="1709641948">
    <w:abstractNumId w:val="13"/>
  </w:num>
  <w:num w:numId="3" w16cid:durableId="163472273">
    <w:abstractNumId w:val="26"/>
  </w:num>
  <w:num w:numId="4" w16cid:durableId="980965537">
    <w:abstractNumId w:val="29"/>
  </w:num>
  <w:num w:numId="5" w16cid:durableId="1669746437">
    <w:abstractNumId w:val="5"/>
  </w:num>
  <w:num w:numId="6" w16cid:durableId="1934509326">
    <w:abstractNumId w:val="11"/>
  </w:num>
  <w:num w:numId="7" w16cid:durableId="262498913">
    <w:abstractNumId w:val="24"/>
  </w:num>
  <w:num w:numId="8" w16cid:durableId="234705717">
    <w:abstractNumId w:val="9"/>
  </w:num>
  <w:num w:numId="9" w16cid:durableId="1666009024">
    <w:abstractNumId w:val="7"/>
  </w:num>
  <w:num w:numId="10" w16cid:durableId="703411059">
    <w:abstractNumId w:val="4"/>
  </w:num>
  <w:num w:numId="11" w16cid:durableId="1114205135">
    <w:abstractNumId w:val="19"/>
  </w:num>
  <w:num w:numId="12" w16cid:durableId="1658026666">
    <w:abstractNumId w:val="25"/>
  </w:num>
  <w:num w:numId="13" w16cid:durableId="421414039">
    <w:abstractNumId w:val="1"/>
  </w:num>
  <w:num w:numId="14" w16cid:durableId="799811354">
    <w:abstractNumId w:val="14"/>
  </w:num>
  <w:num w:numId="15" w16cid:durableId="52167256">
    <w:abstractNumId w:val="22"/>
  </w:num>
  <w:num w:numId="16" w16cid:durableId="1305042798">
    <w:abstractNumId w:val="10"/>
  </w:num>
  <w:num w:numId="17" w16cid:durableId="537741643">
    <w:abstractNumId w:val="27"/>
  </w:num>
  <w:num w:numId="18" w16cid:durableId="1532841688">
    <w:abstractNumId w:val="20"/>
  </w:num>
  <w:num w:numId="19" w16cid:durableId="767313352">
    <w:abstractNumId w:val="0"/>
  </w:num>
  <w:num w:numId="20" w16cid:durableId="1549756128">
    <w:abstractNumId w:val="12"/>
  </w:num>
  <w:num w:numId="21" w16cid:durableId="774519827">
    <w:abstractNumId w:val="8"/>
  </w:num>
  <w:num w:numId="22" w16cid:durableId="468866814">
    <w:abstractNumId w:val="30"/>
  </w:num>
  <w:num w:numId="23" w16cid:durableId="2125688931">
    <w:abstractNumId w:val="16"/>
  </w:num>
  <w:num w:numId="24" w16cid:durableId="1287472603">
    <w:abstractNumId w:val="21"/>
  </w:num>
  <w:num w:numId="25" w16cid:durableId="1417828174">
    <w:abstractNumId w:val="6"/>
  </w:num>
  <w:num w:numId="26" w16cid:durableId="39060882">
    <w:abstractNumId w:val="28"/>
  </w:num>
  <w:num w:numId="27" w16cid:durableId="1129056520">
    <w:abstractNumId w:val="2"/>
  </w:num>
  <w:num w:numId="28" w16cid:durableId="585577927">
    <w:abstractNumId w:val="3"/>
  </w:num>
  <w:num w:numId="29" w16cid:durableId="1400444307">
    <w:abstractNumId w:val="15"/>
  </w:num>
  <w:num w:numId="30" w16cid:durableId="794719610">
    <w:abstractNumId w:val="17"/>
  </w:num>
  <w:num w:numId="31" w16cid:durableId="1334802632">
    <w:abstractNumId w:val="23"/>
  </w:num>
  <w:num w:numId="32" w16cid:durableId="207954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DC"/>
    <w:rsid w:val="000041A3"/>
    <w:rsid w:val="00004ADD"/>
    <w:rsid w:val="00005ED5"/>
    <w:rsid w:val="0000603E"/>
    <w:rsid w:val="00007754"/>
    <w:rsid w:val="000222D6"/>
    <w:rsid w:val="0003484C"/>
    <w:rsid w:val="0004443D"/>
    <w:rsid w:val="00045972"/>
    <w:rsid w:val="000504B5"/>
    <w:rsid w:val="00051D49"/>
    <w:rsid w:val="00057406"/>
    <w:rsid w:val="0006251A"/>
    <w:rsid w:val="000703B9"/>
    <w:rsid w:val="00072393"/>
    <w:rsid w:val="000776E8"/>
    <w:rsid w:val="00080664"/>
    <w:rsid w:val="00081B0A"/>
    <w:rsid w:val="00084582"/>
    <w:rsid w:val="00091828"/>
    <w:rsid w:val="000944DE"/>
    <w:rsid w:val="000A1520"/>
    <w:rsid w:val="000A7C7A"/>
    <w:rsid w:val="000B14D7"/>
    <w:rsid w:val="000B1A8B"/>
    <w:rsid w:val="000B2FB3"/>
    <w:rsid w:val="000C03D5"/>
    <w:rsid w:val="000C3A11"/>
    <w:rsid w:val="000D0E3D"/>
    <w:rsid w:val="000D104E"/>
    <w:rsid w:val="000F3AFF"/>
    <w:rsid w:val="000F3EB3"/>
    <w:rsid w:val="00102500"/>
    <w:rsid w:val="00105D2D"/>
    <w:rsid w:val="001107F5"/>
    <w:rsid w:val="001143DF"/>
    <w:rsid w:val="00114B1E"/>
    <w:rsid w:val="00121669"/>
    <w:rsid w:val="001262F2"/>
    <w:rsid w:val="001349FE"/>
    <w:rsid w:val="001367E1"/>
    <w:rsid w:val="00147F88"/>
    <w:rsid w:val="001534AE"/>
    <w:rsid w:val="00154AB6"/>
    <w:rsid w:val="00167439"/>
    <w:rsid w:val="00171611"/>
    <w:rsid w:val="001721D8"/>
    <w:rsid w:val="00173F44"/>
    <w:rsid w:val="00174996"/>
    <w:rsid w:val="001758E8"/>
    <w:rsid w:val="0018448B"/>
    <w:rsid w:val="00185157"/>
    <w:rsid w:val="0018537B"/>
    <w:rsid w:val="00185970"/>
    <w:rsid w:val="00192C97"/>
    <w:rsid w:val="001946E4"/>
    <w:rsid w:val="001955D9"/>
    <w:rsid w:val="001A054F"/>
    <w:rsid w:val="001A4E01"/>
    <w:rsid w:val="001A6CE5"/>
    <w:rsid w:val="001A779A"/>
    <w:rsid w:val="001B2F55"/>
    <w:rsid w:val="001B4424"/>
    <w:rsid w:val="001B5797"/>
    <w:rsid w:val="001B6814"/>
    <w:rsid w:val="001B760F"/>
    <w:rsid w:val="001B7CA6"/>
    <w:rsid w:val="001B7CD3"/>
    <w:rsid w:val="001C2657"/>
    <w:rsid w:val="001C32A6"/>
    <w:rsid w:val="001C5B6B"/>
    <w:rsid w:val="001D1064"/>
    <w:rsid w:val="001D6D3A"/>
    <w:rsid w:val="001D7360"/>
    <w:rsid w:val="001E2062"/>
    <w:rsid w:val="001E3043"/>
    <w:rsid w:val="001E3B79"/>
    <w:rsid w:val="001E5D20"/>
    <w:rsid w:val="001F04DF"/>
    <w:rsid w:val="002009A2"/>
    <w:rsid w:val="002109DC"/>
    <w:rsid w:val="00213362"/>
    <w:rsid w:val="00215699"/>
    <w:rsid w:val="002208BC"/>
    <w:rsid w:val="00234F5D"/>
    <w:rsid w:val="0023784A"/>
    <w:rsid w:val="002427E5"/>
    <w:rsid w:val="002631BD"/>
    <w:rsid w:val="002631EA"/>
    <w:rsid w:val="00263F9B"/>
    <w:rsid w:val="0026536F"/>
    <w:rsid w:val="00266199"/>
    <w:rsid w:val="00272011"/>
    <w:rsid w:val="00284EAF"/>
    <w:rsid w:val="002900FB"/>
    <w:rsid w:val="0029418E"/>
    <w:rsid w:val="002943B5"/>
    <w:rsid w:val="0029680F"/>
    <w:rsid w:val="002A5F08"/>
    <w:rsid w:val="002C6F79"/>
    <w:rsid w:val="002D338D"/>
    <w:rsid w:val="002D4D3F"/>
    <w:rsid w:val="002E2982"/>
    <w:rsid w:val="002E541E"/>
    <w:rsid w:val="002E5B27"/>
    <w:rsid w:val="002E5FE4"/>
    <w:rsid w:val="002F0456"/>
    <w:rsid w:val="002F089F"/>
    <w:rsid w:val="002F5037"/>
    <w:rsid w:val="002F7BD9"/>
    <w:rsid w:val="00301966"/>
    <w:rsid w:val="00306769"/>
    <w:rsid w:val="00307A08"/>
    <w:rsid w:val="00310C36"/>
    <w:rsid w:val="003166BD"/>
    <w:rsid w:val="00322389"/>
    <w:rsid w:val="0032276F"/>
    <w:rsid w:val="0032473F"/>
    <w:rsid w:val="00324E0E"/>
    <w:rsid w:val="00327B35"/>
    <w:rsid w:val="00346EDF"/>
    <w:rsid w:val="00353DE1"/>
    <w:rsid w:val="003631A6"/>
    <w:rsid w:val="003641F7"/>
    <w:rsid w:val="003840E0"/>
    <w:rsid w:val="00390986"/>
    <w:rsid w:val="003943A6"/>
    <w:rsid w:val="003A4E3D"/>
    <w:rsid w:val="003A62A3"/>
    <w:rsid w:val="003A6F78"/>
    <w:rsid w:val="003A7071"/>
    <w:rsid w:val="003B187C"/>
    <w:rsid w:val="003B1E69"/>
    <w:rsid w:val="003C2086"/>
    <w:rsid w:val="003C2138"/>
    <w:rsid w:val="003C3596"/>
    <w:rsid w:val="003C50B2"/>
    <w:rsid w:val="003C7FD3"/>
    <w:rsid w:val="003D16C3"/>
    <w:rsid w:val="003E11E1"/>
    <w:rsid w:val="003E4106"/>
    <w:rsid w:val="003E7D5F"/>
    <w:rsid w:val="00410120"/>
    <w:rsid w:val="00411EAE"/>
    <w:rsid w:val="00416C64"/>
    <w:rsid w:val="00417ABA"/>
    <w:rsid w:val="00424F73"/>
    <w:rsid w:val="00430176"/>
    <w:rsid w:val="00430FA4"/>
    <w:rsid w:val="00441914"/>
    <w:rsid w:val="004441EE"/>
    <w:rsid w:val="00453F60"/>
    <w:rsid w:val="00456A2B"/>
    <w:rsid w:val="00465425"/>
    <w:rsid w:val="00466C8C"/>
    <w:rsid w:val="00467D69"/>
    <w:rsid w:val="00470FC3"/>
    <w:rsid w:val="004733BC"/>
    <w:rsid w:val="00474935"/>
    <w:rsid w:val="00475057"/>
    <w:rsid w:val="00476BB1"/>
    <w:rsid w:val="00486D45"/>
    <w:rsid w:val="00487406"/>
    <w:rsid w:val="004913F7"/>
    <w:rsid w:val="00492595"/>
    <w:rsid w:val="004A370F"/>
    <w:rsid w:val="004A581A"/>
    <w:rsid w:val="004B056C"/>
    <w:rsid w:val="004B1FB0"/>
    <w:rsid w:val="004B2742"/>
    <w:rsid w:val="004B2A8D"/>
    <w:rsid w:val="004B2FE4"/>
    <w:rsid w:val="004B4FFB"/>
    <w:rsid w:val="004C07E2"/>
    <w:rsid w:val="004C7280"/>
    <w:rsid w:val="004D2135"/>
    <w:rsid w:val="004D2D72"/>
    <w:rsid w:val="004D65C6"/>
    <w:rsid w:val="004D7895"/>
    <w:rsid w:val="004E352F"/>
    <w:rsid w:val="004E549B"/>
    <w:rsid w:val="004E6BEE"/>
    <w:rsid w:val="004E6DB4"/>
    <w:rsid w:val="004F0B0A"/>
    <w:rsid w:val="004F165C"/>
    <w:rsid w:val="004F7128"/>
    <w:rsid w:val="00500FA2"/>
    <w:rsid w:val="00501AD7"/>
    <w:rsid w:val="00505AFE"/>
    <w:rsid w:val="00510BEE"/>
    <w:rsid w:val="00511D82"/>
    <w:rsid w:val="00513454"/>
    <w:rsid w:val="005136B3"/>
    <w:rsid w:val="00516921"/>
    <w:rsid w:val="005266EF"/>
    <w:rsid w:val="00531A1A"/>
    <w:rsid w:val="005322B6"/>
    <w:rsid w:val="00532561"/>
    <w:rsid w:val="0054052F"/>
    <w:rsid w:val="0054655F"/>
    <w:rsid w:val="00547F53"/>
    <w:rsid w:val="005530EE"/>
    <w:rsid w:val="00553ADF"/>
    <w:rsid w:val="00557172"/>
    <w:rsid w:val="00564636"/>
    <w:rsid w:val="0057571C"/>
    <w:rsid w:val="00575A06"/>
    <w:rsid w:val="00576A4D"/>
    <w:rsid w:val="00582982"/>
    <w:rsid w:val="00583B3E"/>
    <w:rsid w:val="00584295"/>
    <w:rsid w:val="00586A18"/>
    <w:rsid w:val="00593A93"/>
    <w:rsid w:val="00593D66"/>
    <w:rsid w:val="005945C6"/>
    <w:rsid w:val="00594723"/>
    <w:rsid w:val="00595C26"/>
    <w:rsid w:val="005A519D"/>
    <w:rsid w:val="005B4513"/>
    <w:rsid w:val="005B6C7E"/>
    <w:rsid w:val="005C1434"/>
    <w:rsid w:val="005C2A0E"/>
    <w:rsid w:val="005D0B4E"/>
    <w:rsid w:val="005D43F2"/>
    <w:rsid w:val="005E102B"/>
    <w:rsid w:val="005E3077"/>
    <w:rsid w:val="005E574A"/>
    <w:rsid w:val="005E6892"/>
    <w:rsid w:val="005F5317"/>
    <w:rsid w:val="005F5B00"/>
    <w:rsid w:val="005F7548"/>
    <w:rsid w:val="00601C2E"/>
    <w:rsid w:val="00602898"/>
    <w:rsid w:val="00603180"/>
    <w:rsid w:val="00606F9D"/>
    <w:rsid w:val="00611AD7"/>
    <w:rsid w:val="0061342D"/>
    <w:rsid w:val="00625975"/>
    <w:rsid w:val="00627275"/>
    <w:rsid w:val="006339A6"/>
    <w:rsid w:val="00633A01"/>
    <w:rsid w:val="00633A88"/>
    <w:rsid w:val="00634F29"/>
    <w:rsid w:val="00637CB0"/>
    <w:rsid w:val="00637F0B"/>
    <w:rsid w:val="00637F62"/>
    <w:rsid w:val="00642535"/>
    <w:rsid w:val="00643470"/>
    <w:rsid w:val="00655C50"/>
    <w:rsid w:val="0066350E"/>
    <w:rsid w:val="0066576E"/>
    <w:rsid w:val="00671048"/>
    <w:rsid w:val="00677F81"/>
    <w:rsid w:val="0068231D"/>
    <w:rsid w:val="0069015A"/>
    <w:rsid w:val="00692565"/>
    <w:rsid w:val="00692757"/>
    <w:rsid w:val="006A546E"/>
    <w:rsid w:val="006A5AB8"/>
    <w:rsid w:val="006A676A"/>
    <w:rsid w:val="006B34EC"/>
    <w:rsid w:val="006B3FDE"/>
    <w:rsid w:val="006B74EC"/>
    <w:rsid w:val="006D0E4B"/>
    <w:rsid w:val="006D2BAF"/>
    <w:rsid w:val="006D3B31"/>
    <w:rsid w:val="006D5B8B"/>
    <w:rsid w:val="006D67FE"/>
    <w:rsid w:val="006D72B9"/>
    <w:rsid w:val="006E2C57"/>
    <w:rsid w:val="006E33E6"/>
    <w:rsid w:val="006F092E"/>
    <w:rsid w:val="006F5845"/>
    <w:rsid w:val="006F5EDB"/>
    <w:rsid w:val="006F6776"/>
    <w:rsid w:val="0070290D"/>
    <w:rsid w:val="0071040A"/>
    <w:rsid w:val="007106FB"/>
    <w:rsid w:val="007109AD"/>
    <w:rsid w:val="00711A5B"/>
    <w:rsid w:val="00725F0D"/>
    <w:rsid w:val="0073144D"/>
    <w:rsid w:val="00741FBD"/>
    <w:rsid w:val="0074731B"/>
    <w:rsid w:val="0075124D"/>
    <w:rsid w:val="00753B16"/>
    <w:rsid w:val="00754EF5"/>
    <w:rsid w:val="00763827"/>
    <w:rsid w:val="007665C8"/>
    <w:rsid w:val="00770D60"/>
    <w:rsid w:val="00771095"/>
    <w:rsid w:val="00776B3B"/>
    <w:rsid w:val="007771E8"/>
    <w:rsid w:val="0077738A"/>
    <w:rsid w:val="0078225B"/>
    <w:rsid w:val="00782C13"/>
    <w:rsid w:val="00787815"/>
    <w:rsid w:val="00792605"/>
    <w:rsid w:val="00793828"/>
    <w:rsid w:val="00794595"/>
    <w:rsid w:val="0079464A"/>
    <w:rsid w:val="007A0BB3"/>
    <w:rsid w:val="007A7875"/>
    <w:rsid w:val="007B140C"/>
    <w:rsid w:val="007B180C"/>
    <w:rsid w:val="007B194D"/>
    <w:rsid w:val="007B56BE"/>
    <w:rsid w:val="007C062F"/>
    <w:rsid w:val="007C30FC"/>
    <w:rsid w:val="007C31C9"/>
    <w:rsid w:val="007C61C3"/>
    <w:rsid w:val="007C6F7F"/>
    <w:rsid w:val="007C7327"/>
    <w:rsid w:val="007C7543"/>
    <w:rsid w:val="007D5696"/>
    <w:rsid w:val="007D66F9"/>
    <w:rsid w:val="007D767C"/>
    <w:rsid w:val="007E1C05"/>
    <w:rsid w:val="007E52DD"/>
    <w:rsid w:val="007E6EDD"/>
    <w:rsid w:val="007F54EF"/>
    <w:rsid w:val="007F5F51"/>
    <w:rsid w:val="008025F5"/>
    <w:rsid w:val="00802BD9"/>
    <w:rsid w:val="008048D1"/>
    <w:rsid w:val="008059D9"/>
    <w:rsid w:val="00812D26"/>
    <w:rsid w:val="0081429B"/>
    <w:rsid w:val="008175E3"/>
    <w:rsid w:val="00820FF9"/>
    <w:rsid w:val="0082231A"/>
    <w:rsid w:val="008224AB"/>
    <w:rsid w:val="0082303A"/>
    <w:rsid w:val="00831ADC"/>
    <w:rsid w:val="00833940"/>
    <w:rsid w:val="008410C5"/>
    <w:rsid w:val="00850A4B"/>
    <w:rsid w:val="008518B6"/>
    <w:rsid w:val="00853B2D"/>
    <w:rsid w:val="008722D3"/>
    <w:rsid w:val="00872494"/>
    <w:rsid w:val="0088581F"/>
    <w:rsid w:val="00886BB8"/>
    <w:rsid w:val="00891224"/>
    <w:rsid w:val="00894E56"/>
    <w:rsid w:val="008952B0"/>
    <w:rsid w:val="008A00A9"/>
    <w:rsid w:val="008A04D0"/>
    <w:rsid w:val="008A1930"/>
    <w:rsid w:val="008A2CE3"/>
    <w:rsid w:val="008A5146"/>
    <w:rsid w:val="008B34BA"/>
    <w:rsid w:val="008B7474"/>
    <w:rsid w:val="008C0E51"/>
    <w:rsid w:val="008C19C5"/>
    <w:rsid w:val="008C3C9D"/>
    <w:rsid w:val="008D499F"/>
    <w:rsid w:val="008D6E24"/>
    <w:rsid w:val="008E580B"/>
    <w:rsid w:val="008E5A64"/>
    <w:rsid w:val="008E5B13"/>
    <w:rsid w:val="008F413C"/>
    <w:rsid w:val="008F5965"/>
    <w:rsid w:val="00901047"/>
    <w:rsid w:val="00905745"/>
    <w:rsid w:val="0092047D"/>
    <w:rsid w:val="00920D1A"/>
    <w:rsid w:val="009229C6"/>
    <w:rsid w:val="0092607A"/>
    <w:rsid w:val="0092618E"/>
    <w:rsid w:val="00934CFC"/>
    <w:rsid w:val="00934FCE"/>
    <w:rsid w:val="00937C4E"/>
    <w:rsid w:val="00941433"/>
    <w:rsid w:val="009431B1"/>
    <w:rsid w:val="00944D02"/>
    <w:rsid w:val="00945BF2"/>
    <w:rsid w:val="009471FD"/>
    <w:rsid w:val="0095097F"/>
    <w:rsid w:val="00951CCF"/>
    <w:rsid w:val="0095228B"/>
    <w:rsid w:val="00956A90"/>
    <w:rsid w:val="00961F8C"/>
    <w:rsid w:val="009638AB"/>
    <w:rsid w:val="009653BA"/>
    <w:rsid w:val="00974C27"/>
    <w:rsid w:val="009754B2"/>
    <w:rsid w:val="00987F30"/>
    <w:rsid w:val="00992502"/>
    <w:rsid w:val="00993280"/>
    <w:rsid w:val="00994F6A"/>
    <w:rsid w:val="009A475D"/>
    <w:rsid w:val="009B3A1C"/>
    <w:rsid w:val="009D03E8"/>
    <w:rsid w:val="009D74D8"/>
    <w:rsid w:val="009D7788"/>
    <w:rsid w:val="009D7F1D"/>
    <w:rsid w:val="009E1DA9"/>
    <w:rsid w:val="009E543A"/>
    <w:rsid w:val="009E6C4B"/>
    <w:rsid w:val="009F6684"/>
    <w:rsid w:val="009F6D02"/>
    <w:rsid w:val="009F7310"/>
    <w:rsid w:val="00A015CD"/>
    <w:rsid w:val="00A06D19"/>
    <w:rsid w:val="00A1363C"/>
    <w:rsid w:val="00A14D26"/>
    <w:rsid w:val="00A1517F"/>
    <w:rsid w:val="00A1624C"/>
    <w:rsid w:val="00A166D5"/>
    <w:rsid w:val="00A17194"/>
    <w:rsid w:val="00A20637"/>
    <w:rsid w:val="00A2164E"/>
    <w:rsid w:val="00A26541"/>
    <w:rsid w:val="00A402A7"/>
    <w:rsid w:val="00A44FC3"/>
    <w:rsid w:val="00A47E1E"/>
    <w:rsid w:val="00A54F24"/>
    <w:rsid w:val="00A55303"/>
    <w:rsid w:val="00A617C2"/>
    <w:rsid w:val="00A63B1A"/>
    <w:rsid w:val="00A71B1C"/>
    <w:rsid w:val="00A71FC2"/>
    <w:rsid w:val="00A73590"/>
    <w:rsid w:val="00A74560"/>
    <w:rsid w:val="00A7462E"/>
    <w:rsid w:val="00A75A45"/>
    <w:rsid w:val="00A81C5A"/>
    <w:rsid w:val="00A85248"/>
    <w:rsid w:val="00A925EE"/>
    <w:rsid w:val="00A95A35"/>
    <w:rsid w:val="00AA0687"/>
    <w:rsid w:val="00AA09C1"/>
    <w:rsid w:val="00AA6937"/>
    <w:rsid w:val="00AA75D0"/>
    <w:rsid w:val="00AB12F1"/>
    <w:rsid w:val="00AB3FD1"/>
    <w:rsid w:val="00AC735C"/>
    <w:rsid w:val="00AD3A64"/>
    <w:rsid w:val="00AD4B11"/>
    <w:rsid w:val="00AD4BA1"/>
    <w:rsid w:val="00AD510C"/>
    <w:rsid w:val="00AD6F96"/>
    <w:rsid w:val="00AE249A"/>
    <w:rsid w:val="00AF5691"/>
    <w:rsid w:val="00AF69CC"/>
    <w:rsid w:val="00AF7B08"/>
    <w:rsid w:val="00B03E03"/>
    <w:rsid w:val="00B10B81"/>
    <w:rsid w:val="00B12A20"/>
    <w:rsid w:val="00B13D1F"/>
    <w:rsid w:val="00B143EE"/>
    <w:rsid w:val="00B21C9C"/>
    <w:rsid w:val="00B221B5"/>
    <w:rsid w:val="00B22DEB"/>
    <w:rsid w:val="00B32EFF"/>
    <w:rsid w:val="00B3529F"/>
    <w:rsid w:val="00B35E0A"/>
    <w:rsid w:val="00B444BB"/>
    <w:rsid w:val="00B50383"/>
    <w:rsid w:val="00B53DD7"/>
    <w:rsid w:val="00B55B89"/>
    <w:rsid w:val="00B62255"/>
    <w:rsid w:val="00B648EF"/>
    <w:rsid w:val="00B66E46"/>
    <w:rsid w:val="00B76E1B"/>
    <w:rsid w:val="00B81FDC"/>
    <w:rsid w:val="00B84CBE"/>
    <w:rsid w:val="00B84EF4"/>
    <w:rsid w:val="00B86E57"/>
    <w:rsid w:val="00BB1FAA"/>
    <w:rsid w:val="00BB6983"/>
    <w:rsid w:val="00BC0B84"/>
    <w:rsid w:val="00BC3BF0"/>
    <w:rsid w:val="00BC551F"/>
    <w:rsid w:val="00BD102D"/>
    <w:rsid w:val="00BD13CF"/>
    <w:rsid w:val="00BD4674"/>
    <w:rsid w:val="00BD73D7"/>
    <w:rsid w:val="00BE1EB0"/>
    <w:rsid w:val="00BE53E4"/>
    <w:rsid w:val="00BE6688"/>
    <w:rsid w:val="00BE7C89"/>
    <w:rsid w:val="00BF0D1C"/>
    <w:rsid w:val="00BF0ECC"/>
    <w:rsid w:val="00BF1FE9"/>
    <w:rsid w:val="00C065C1"/>
    <w:rsid w:val="00C13A72"/>
    <w:rsid w:val="00C14A2A"/>
    <w:rsid w:val="00C166B9"/>
    <w:rsid w:val="00C253F4"/>
    <w:rsid w:val="00C30F89"/>
    <w:rsid w:val="00C34F38"/>
    <w:rsid w:val="00C5241D"/>
    <w:rsid w:val="00C56562"/>
    <w:rsid w:val="00C56EBC"/>
    <w:rsid w:val="00C6354E"/>
    <w:rsid w:val="00C64F71"/>
    <w:rsid w:val="00C66CBA"/>
    <w:rsid w:val="00C70F45"/>
    <w:rsid w:val="00C72D21"/>
    <w:rsid w:val="00C72E18"/>
    <w:rsid w:val="00C74D6D"/>
    <w:rsid w:val="00C83A84"/>
    <w:rsid w:val="00C84F94"/>
    <w:rsid w:val="00C8539E"/>
    <w:rsid w:val="00C86799"/>
    <w:rsid w:val="00C8799F"/>
    <w:rsid w:val="00C91D68"/>
    <w:rsid w:val="00C97441"/>
    <w:rsid w:val="00CA20D2"/>
    <w:rsid w:val="00CA344A"/>
    <w:rsid w:val="00CA3691"/>
    <w:rsid w:val="00CA7C59"/>
    <w:rsid w:val="00CB512F"/>
    <w:rsid w:val="00CB7E8A"/>
    <w:rsid w:val="00CC0DDC"/>
    <w:rsid w:val="00CC57CB"/>
    <w:rsid w:val="00CD77A8"/>
    <w:rsid w:val="00CE09FF"/>
    <w:rsid w:val="00CE7057"/>
    <w:rsid w:val="00CF2E9B"/>
    <w:rsid w:val="00CF4998"/>
    <w:rsid w:val="00D03895"/>
    <w:rsid w:val="00D04D0A"/>
    <w:rsid w:val="00D15249"/>
    <w:rsid w:val="00D1604B"/>
    <w:rsid w:val="00D24AAE"/>
    <w:rsid w:val="00D26134"/>
    <w:rsid w:val="00D421EF"/>
    <w:rsid w:val="00D42468"/>
    <w:rsid w:val="00D672DC"/>
    <w:rsid w:val="00D73418"/>
    <w:rsid w:val="00D75EF9"/>
    <w:rsid w:val="00D818C5"/>
    <w:rsid w:val="00D87B42"/>
    <w:rsid w:val="00D90F17"/>
    <w:rsid w:val="00D95D7D"/>
    <w:rsid w:val="00DA3F2E"/>
    <w:rsid w:val="00DA5576"/>
    <w:rsid w:val="00DB24B5"/>
    <w:rsid w:val="00DB29A1"/>
    <w:rsid w:val="00DB2F7B"/>
    <w:rsid w:val="00DB747B"/>
    <w:rsid w:val="00DD63F2"/>
    <w:rsid w:val="00DE1473"/>
    <w:rsid w:val="00DE6123"/>
    <w:rsid w:val="00DE6A7E"/>
    <w:rsid w:val="00DF5BB5"/>
    <w:rsid w:val="00E0669F"/>
    <w:rsid w:val="00E12851"/>
    <w:rsid w:val="00E310A8"/>
    <w:rsid w:val="00E434EC"/>
    <w:rsid w:val="00E43C15"/>
    <w:rsid w:val="00E5122C"/>
    <w:rsid w:val="00E51A28"/>
    <w:rsid w:val="00E52036"/>
    <w:rsid w:val="00E56229"/>
    <w:rsid w:val="00E63E9C"/>
    <w:rsid w:val="00E63EF0"/>
    <w:rsid w:val="00E656E5"/>
    <w:rsid w:val="00E65D7C"/>
    <w:rsid w:val="00E66EFA"/>
    <w:rsid w:val="00E70E7A"/>
    <w:rsid w:val="00E73CD2"/>
    <w:rsid w:val="00E743E2"/>
    <w:rsid w:val="00E77FEE"/>
    <w:rsid w:val="00E810A2"/>
    <w:rsid w:val="00E82689"/>
    <w:rsid w:val="00E82C16"/>
    <w:rsid w:val="00E843A8"/>
    <w:rsid w:val="00E85878"/>
    <w:rsid w:val="00E86741"/>
    <w:rsid w:val="00E92D66"/>
    <w:rsid w:val="00E96506"/>
    <w:rsid w:val="00EA3180"/>
    <w:rsid w:val="00EA7F3C"/>
    <w:rsid w:val="00EB565E"/>
    <w:rsid w:val="00EC0D89"/>
    <w:rsid w:val="00EC3D6C"/>
    <w:rsid w:val="00EC6CC9"/>
    <w:rsid w:val="00ED0214"/>
    <w:rsid w:val="00ED6EFC"/>
    <w:rsid w:val="00EE02BD"/>
    <w:rsid w:val="00EE0DC6"/>
    <w:rsid w:val="00EE37BC"/>
    <w:rsid w:val="00EF0D52"/>
    <w:rsid w:val="00EF21F9"/>
    <w:rsid w:val="00EF5570"/>
    <w:rsid w:val="00EF5B31"/>
    <w:rsid w:val="00F0144E"/>
    <w:rsid w:val="00F158CA"/>
    <w:rsid w:val="00F17F79"/>
    <w:rsid w:val="00F216B8"/>
    <w:rsid w:val="00F225CE"/>
    <w:rsid w:val="00F32CAF"/>
    <w:rsid w:val="00F33B95"/>
    <w:rsid w:val="00F4310B"/>
    <w:rsid w:val="00F43736"/>
    <w:rsid w:val="00F47704"/>
    <w:rsid w:val="00F55490"/>
    <w:rsid w:val="00F64B27"/>
    <w:rsid w:val="00F652F6"/>
    <w:rsid w:val="00F73718"/>
    <w:rsid w:val="00F815CC"/>
    <w:rsid w:val="00F81AC5"/>
    <w:rsid w:val="00F85A8C"/>
    <w:rsid w:val="00F85C55"/>
    <w:rsid w:val="00F9611E"/>
    <w:rsid w:val="00FA6726"/>
    <w:rsid w:val="00FA7297"/>
    <w:rsid w:val="00FB0DC8"/>
    <w:rsid w:val="00FB40BD"/>
    <w:rsid w:val="00FB42F6"/>
    <w:rsid w:val="00FB5651"/>
    <w:rsid w:val="00FC3BF4"/>
    <w:rsid w:val="00FC45D8"/>
    <w:rsid w:val="00FD03C9"/>
    <w:rsid w:val="00FD0B42"/>
    <w:rsid w:val="00FD5448"/>
    <w:rsid w:val="00FD79A0"/>
    <w:rsid w:val="00FD7FC7"/>
    <w:rsid w:val="00FE3A4C"/>
    <w:rsid w:val="00FE5355"/>
    <w:rsid w:val="00FF6F0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B920A"/>
  <w15:docId w15:val="{15185A82-7B6F-44BF-A2A2-4B4D6137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75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75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7548"/>
  </w:style>
  <w:style w:type="paragraph" w:styleId="Zpat">
    <w:name w:val="footer"/>
    <w:basedOn w:val="Normln"/>
    <w:link w:val="ZpatChar"/>
    <w:uiPriority w:val="99"/>
    <w:unhideWhenUsed/>
    <w:rsid w:val="005F7548"/>
    <w:pPr>
      <w:tabs>
        <w:tab w:val="center" w:pos="4536"/>
        <w:tab w:val="right" w:pos="9072"/>
      </w:tabs>
      <w:spacing w:after="0" w:line="240" w:lineRule="auto"/>
    </w:pPr>
  </w:style>
  <w:style w:type="character" w:customStyle="1" w:styleId="ZpatChar">
    <w:name w:val="Zápatí Char"/>
    <w:basedOn w:val="Standardnpsmoodstavce"/>
    <w:link w:val="Zpat"/>
    <w:uiPriority w:val="99"/>
    <w:rsid w:val="005F7548"/>
  </w:style>
  <w:style w:type="paragraph" w:styleId="Textbubliny">
    <w:name w:val="Balloon Text"/>
    <w:basedOn w:val="Normln"/>
    <w:link w:val="TextbublinyChar"/>
    <w:uiPriority w:val="99"/>
    <w:semiHidden/>
    <w:unhideWhenUsed/>
    <w:rsid w:val="005F754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7548"/>
    <w:rPr>
      <w:rFonts w:ascii="Tahoma" w:hAnsi="Tahoma" w:cs="Tahoma"/>
      <w:sz w:val="16"/>
      <w:szCs w:val="16"/>
    </w:rPr>
  </w:style>
  <w:style w:type="paragraph" w:customStyle="1" w:styleId="Zkladnodstavec">
    <w:name w:val="[Základní odstavec]"/>
    <w:basedOn w:val="Normln"/>
    <w:uiPriority w:val="99"/>
    <w:rsid w:val="00AA09C1"/>
    <w:pPr>
      <w:autoSpaceDE w:val="0"/>
      <w:autoSpaceDN w:val="0"/>
      <w:adjustRightInd w:val="0"/>
      <w:spacing w:after="0" w:line="288" w:lineRule="auto"/>
      <w:textAlignment w:val="center"/>
    </w:pPr>
    <w:rPr>
      <w:rFonts w:ascii="Minion Pro" w:hAnsi="Minion Pro" w:cs="Minion Pro"/>
      <w:color w:val="000000"/>
      <w:sz w:val="24"/>
      <w:szCs w:val="24"/>
    </w:rPr>
  </w:style>
  <w:style w:type="table" w:styleId="Mkatabulky">
    <w:name w:val="Table Grid"/>
    <w:basedOn w:val="Normlntabulka"/>
    <w:uiPriority w:val="59"/>
    <w:rsid w:val="00C87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70290D"/>
    <w:pPr>
      <w:spacing w:after="0" w:line="240" w:lineRule="auto"/>
    </w:pPr>
    <w:rPr>
      <w:rFonts w:ascii="Cambria" w:eastAsia="Times New Roman" w:hAnsi="Cambria" w:cs="Times New Roman"/>
      <w:i/>
      <w:iCs/>
      <w:color w:val="4F81BD"/>
      <w:spacing w:val="15"/>
      <w:sz w:val="24"/>
      <w:szCs w:val="24"/>
      <w:lang w:eastAsia="cs-CZ"/>
    </w:rPr>
  </w:style>
  <w:style w:type="character" w:customStyle="1" w:styleId="PodnadpisChar">
    <w:name w:val="Podnadpis Char"/>
    <w:basedOn w:val="Standardnpsmoodstavce"/>
    <w:link w:val="Podnadpis"/>
    <w:rsid w:val="0070290D"/>
    <w:rPr>
      <w:rFonts w:ascii="Cambria" w:eastAsia="Times New Roman" w:hAnsi="Cambria" w:cs="Times New Roman"/>
      <w:i/>
      <w:iCs/>
      <w:color w:val="4F81BD"/>
      <w:spacing w:val="15"/>
      <w:sz w:val="24"/>
      <w:szCs w:val="24"/>
      <w:lang w:eastAsia="cs-CZ"/>
    </w:rPr>
  </w:style>
  <w:style w:type="paragraph" w:styleId="Odstavecseseznamem">
    <w:name w:val="List Paragraph"/>
    <w:basedOn w:val="Normln"/>
    <w:uiPriority w:val="34"/>
    <w:qFormat/>
    <w:rsid w:val="00EC6CC9"/>
    <w:pPr>
      <w:ind w:left="720"/>
      <w:contextualSpacing/>
    </w:pPr>
  </w:style>
  <w:style w:type="paragraph" w:styleId="Textpoznpodarou">
    <w:name w:val="footnote text"/>
    <w:basedOn w:val="Normln"/>
    <w:link w:val="TextpoznpodarouChar"/>
    <w:uiPriority w:val="99"/>
    <w:unhideWhenUsed/>
    <w:rsid w:val="00FA7297"/>
    <w:pPr>
      <w:suppressAutoHyphens/>
      <w:spacing w:after="0" w:line="240" w:lineRule="auto"/>
    </w:pPr>
    <w:rPr>
      <w:rFonts w:ascii="Arial" w:eastAsia="Times New Roman" w:hAnsi="Arial" w:cs="Times New Roman"/>
      <w:sz w:val="20"/>
      <w:szCs w:val="20"/>
      <w:lang w:eastAsia="ar-SA"/>
    </w:rPr>
  </w:style>
  <w:style w:type="character" w:customStyle="1" w:styleId="TextpoznpodarouChar">
    <w:name w:val="Text pozn. pod čarou Char"/>
    <w:basedOn w:val="Standardnpsmoodstavce"/>
    <w:link w:val="Textpoznpodarou"/>
    <w:uiPriority w:val="99"/>
    <w:rsid w:val="00FA7297"/>
    <w:rPr>
      <w:rFonts w:ascii="Arial" w:eastAsia="Times New Roman" w:hAnsi="Arial" w:cs="Times New Roman"/>
      <w:sz w:val="20"/>
      <w:szCs w:val="20"/>
      <w:lang w:eastAsia="ar-SA"/>
    </w:rPr>
  </w:style>
  <w:style w:type="character" w:styleId="Znakapoznpodarou">
    <w:name w:val="footnote reference"/>
    <w:basedOn w:val="Standardnpsmoodstavce"/>
    <w:uiPriority w:val="99"/>
    <w:semiHidden/>
    <w:unhideWhenUsed/>
    <w:rsid w:val="00FA7297"/>
    <w:rPr>
      <w:vertAlign w:val="superscript"/>
    </w:rPr>
  </w:style>
  <w:style w:type="character" w:styleId="Odkaznakoment">
    <w:name w:val="annotation reference"/>
    <w:basedOn w:val="Standardnpsmoodstavce"/>
    <w:uiPriority w:val="99"/>
    <w:semiHidden/>
    <w:unhideWhenUsed/>
    <w:rsid w:val="00FA7297"/>
    <w:rPr>
      <w:sz w:val="16"/>
      <w:szCs w:val="16"/>
    </w:rPr>
  </w:style>
  <w:style w:type="paragraph" w:styleId="Prosttext">
    <w:name w:val="Plain Text"/>
    <w:basedOn w:val="Normln"/>
    <w:link w:val="ProsttextChar"/>
    <w:uiPriority w:val="99"/>
    <w:unhideWhenUsed/>
    <w:rsid w:val="00FA7297"/>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FA7297"/>
    <w:rPr>
      <w:rFonts w:ascii="Calibri" w:hAnsi="Calibri"/>
      <w:szCs w:val="21"/>
    </w:rPr>
  </w:style>
  <w:style w:type="paragraph" w:styleId="Textkomente">
    <w:name w:val="annotation text"/>
    <w:basedOn w:val="Normln"/>
    <w:link w:val="TextkomenteChar"/>
    <w:uiPriority w:val="99"/>
    <w:unhideWhenUsed/>
    <w:rsid w:val="00FA7297"/>
    <w:pPr>
      <w:suppressAutoHyphens/>
      <w:spacing w:after="0" w:line="240" w:lineRule="auto"/>
    </w:pPr>
    <w:rPr>
      <w:rFonts w:ascii="Arial" w:eastAsia="Times New Roman" w:hAnsi="Arial" w:cs="Times New Roman"/>
      <w:sz w:val="20"/>
      <w:szCs w:val="20"/>
      <w:lang w:eastAsia="ar-SA"/>
    </w:rPr>
  </w:style>
  <w:style w:type="character" w:customStyle="1" w:styleId="TextkomenteChar">
    <w:name w:val="Text komentáře Char"/>
    <w:basedOn w:val="Standardnpsmoodstavce"/>
    <w:link w:val="Textkomente"/>
    <w:uiPriority w:val="99"/>
    <w:rsid w:val="00FA7297"/>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D87B42"/>
    <w:pPr>
      <w:suppressAutoHyphens w:val="0"/>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D87B42"/>
    <w:rPr>
      <w:rFonts w:ascii="Arial" w:eastAsia="Times New Roman" w:hAnsi="Arial" w:cs="Times New Roman"/>
      <w:b/>
      <w:bCs/>
      <w:sz w:val="20"/>
      <w:szCs w:val="20"/>
      <w:lang w:eastAsia="ar-SA"/>
    </w:rPr>
  </w:style>
  <w:style w:type="paragraph" w:styleId="Normlnweb">
    <w:name w:val="Normal (Web)"/>
    <w:basedOn w:val="Normln"/>
    <w:uiPriority w:val="99"/>
    <w:semiHidden/>
    <w:unhideWhenUsed/>
    <w:rsid w:val="005C2A0E"/>
    <w:pPr>
      <w:spacing w:before="100" w:beforeAutospacing="1" w:after="100" w:afterAutospacing="1" w:line="240" w:lineRule="auto"/>
    </w:pPr>
    <w:rPr>
      <w:rFonts w:ascii="Calibri" w:hAnsi="Calibri" w:cs="Calibri"/>
      <w:lang w:eastAsia="cs-CZ"/>
    </w:rPr>
  </w:style>
  <w:style w:type="character" w:styleId="Siln">
    <w:name w:val="Strong"/>
    <w:basedOn w:val="Standardnpsmoodstavce"/>
    <w:uiPriority w:val="22"/>
    <w:qFormat/>
    <w:rsid w:val="005C2A0E"/>
    <w:rPr>
      <w:b/>
      <w:bCs/>
    </w:rPr>
  </w:style>
  <w:style w:type="paragraph" w:customStyle="1" w:styleId="Nadpisoddlu">
    <w:name w:val="Nadpis oddílu"/>
    <w:basedOn w:val="Normln"/>
    <w:next w:val="Normln"/>
    <w:rsid w:val="00F85C55"/>
    <w:pPr>
      <w:keepNext/>
      <w:keepLines/>
      <w:spacing w:after="160" w:line="256" w:lineRule="auto"/>
      <w:jc w:val="center"/>
      <w:outlineLvl w:val="4"/>
    </w:pPr>
    <w:rPr>
      <w:b/>
    </w:rPr>
  </w:style>
  <w:style w:type="paragraph" w:customStyle="1" w:styleId="oddl">
    <w:name w:val="oddíl"/>
    <w:basedOn w:val="Normln"/>
    <w:next w:val="Normln"/>
    <w:rsid w:val="00F0144E"/>
    <w:pPr>
      <w:keepNext/>
      <w:spacing w:before="240" w:after="0" w:line="240" w:lineRule="auto"/>
      <w:jc w:val="center"/>
      <w:outlineLvl w:val="3"/>
    </w:pPr>
    <w:rPr>
      <w:rFonts w:ascii="Times New Roman" w:eastAsia="Times New Roman" w:hAnsi="Times New Roman" w:cs="Times New Roman"/>
      <w:noProof/>
      <w:sz w:val="24"/>
      <w:szCs w:val="24"/>
      <w:lang w:eastAsia="cs-CZ"/>
    </w:rPr>
  </w:style>
  <w:style w:type="character" w:styleId="Hypertextovodkaz">
    <w:name w:val="Hyperlink"/>
    <w:basedOn w:val="Standardnpsmoodstavce"/>
    <w:uiPriority w:val="99"/>
    <w:unhideWhenUsed/>
    <w:rsid w:val="001E2062"/>
    <w:rPr>
      <w:color w:val="0000FF" w:themeColor="hyperlink"/>
      <w:u w:val="single"/>
    </w:rPr>
  </w:style>
  <w:style w:type="character" w:styleId="Nevyeenzmnka">
    <w:name w:val="Unresolved Mention"/>
    <w:basedOn w:val="Standardnpsmoodstavce"/>
    <w:uiPriority w:val="99"/>
    <w:semiHidden/>
    <w:unhideWhenUsed/>
    <w:rsid w:val="00EE0DC6"/>
    <w:rPr>
      <w:color w:val="605E5C"/>
      <w:shd w:val="clear" w:color="auto" w:fill="E1DFDD"/>
    </w:rPr>
  </w:style>
  <w:style w:type="paragraph" w:styleId="Bezmezer">
    <w:name w:val="No Spacing"/>
    <w:uiPriority w:val="1"/>
    <w:qFormat/>
    <w:rsid w:val="00787815"/>
    <w:pPr>
      <w:spacing w:after="0" w:line="240" w:lineRule="auto"/>
    </w:pPr>
    <w:rPr>
      <w:kern w:val="2"/>
      <w14:ligatures w14:val="standardContextual"/>
    </w:rPr>
  </w:style>
  <w:style w:type="paragraph" w:styleId="Revize">
    <w:name w:val="Revision"/>
    <w:hidden/>
    <w:uiPriority w:val="99"/>
    <w:semiHidden/>
    <w:rsid w:val="000D10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5985">
      <w:bodyDiv w:val="1"/>
      <w:marLeft w:val="0"/>
      <w:marRight w:val="0"/>
      <w:marTop w:val="0"/>
      <w:marBottom w:val="0"/>
      <w:divBdr>
        <w:top w:val="none" w:sz="0" w:space="0" w:color="auto"/>
        <w:left w:val="none" w:sz="0" w:space="0" w:color="auto"/>
        <w:bottom w:val="none" w:sz="0" w:space="0" w:color="auto"/>
        <w:right w:val="none" w:sz="0" w:space="0" w:color="auto"/>
      </w:divBdr>
    </w:div>
    <w:div w:id="209072678">
      <w:bodyDiv w:val="1"/>
      <w:marLeft w:val="0"/>
      <w:marRight w:val="0"/>
      <w:marTop w:val="0"/>
      <w:marBottom w:val="0"/>
      <w:divBdr>
        <w:top w:val="none" w:sz="0" w:space="0" w:color="auto"/>
        <w:left w:val="none" w:sz="0" w:space="0" w:color="auto"/>
        <w:bottom w:val="none" w:sz="0" w:space="0" w:color="auto"/>
        <w:right w:val="none" w:sz="0" w:space="0" w:color="auto"/>
      </w:divBdr>
    </w:div>
    <w:div w:id="278071145">
      <w:bodyDiv w:val="1"/>
      <w:marLeft w:val="0"/>
      <w:marRight w:val="0"/>
      <w:marTop w:val="0"/>
      <w:marBottom w:val="0"/>
      <w:divBdr>
        <w:top w:val="none" w:sz="0" w:space="0" w:color="auto"/>
        <w:left w:val="none" w:sz="0" w:space="0" w:color="auto"/>
        <w:bottom w:val="none" w:sz="0" w:space="0" w:color="auto"/>
        <w:right w:val="none" w:sz="0" w:space="0" w:color="auto"/>
      </w:divBdr>
    </w:div>
    <w:div w:id="302346389">
      <w:bodyDiv w:val="1"/>
      <w:marLeft w:val="0"/>
      <w:marRight w:val="0"/>
      <w:marTop w:val="0"/>
      <w:marBottom w:val="0"/>
      <w:divBdr>
        <w:top w:val="none" w:sz="0" w:space="0" w:color="auto"/>
        <w:left w:val="none" w:sz="0" w:space="0" w:color="auto"/>
        <w:bottom w:val="none" w:sz="0" w:space="0" w:color="auto"/>
        <w:right w:val="none" w:sz="0" w:space="0" w:color="auto"/>
      </w:divBdr>
    </w:div>
    <w:div w:id="318731040">
      <w:bodyDiv w:val="1"/>
      <w:marLeft w:val="0"/>
      <w:marRight w:val="0"/>
      <w:marTop w:val="0"/>
      <w:marBottom w:val="0"/>
      <w:divBdr>
        <w:top w:val="none" w:sz="0" w:space="0" w:color="auto"/>
        <w:left w:val="none" w:sz="0" w:space="0" w:color="auto"/>
        <w:bottom w:val="none" w:sz="0" w:space="0" w:color="auto"/>
        <w:right w:val="none" w:sz="0" w:space="0" w:color="auto"/>
      </w:divBdr>
    </w:div>
    <w:div w:id="346715553">
      <w:bodyDiv w:val="1"/>
      <w:marLeft w:val="0"/>
      <w:marRight w:val="0"/>
      <w:marTop w:val="0"/>
      <w:marBottom w:val="0"/>
      <w:divBdr>
        <w:top w:val="none" w:sz="0" w:space="0" w:color="auto"/>
        <w:left w:val="none" w:sz="0" w:space="0" w:color="auto"/>
        <w:bottom w:val="none" w:sz="0" w:space="0" w:color="auto"/>
        <w:right w:val="none" w:sz="0" w:space="0" w:color="auto"/>
      </w:divBdr>
    </w:div>
    <w:div w:id="354035841">
      <w:bodyDiv w:val="1"/>
      <w:marLeft w:val="0"/>
      <w:marRight w:val="0"/>
      <w:marTop w:val="0"/>
      <w:marBottom w:val="0"/>
      <w:divBdr>
        <w:top w:val="none" w:sz="0" w:space="0" w:color="auto"/>
        <w:left w:val="none" w:sz="0" w:space="0" w:color="auto"/>
        <w:bottom w:val="none" w:sz="0" w:space="0" w:color="auto"/>
        <w:right w:val="none" w:sz="0" w:space="0" w:color="auto"/>
      </w:divBdr>
    </w:div>
    <w:div w:id="462237457">
      <w:bodyDiv w:val="1"/>
      <w:marLeft w:val="0"/>
      <w:marRight w:val="0"/>
      <w:marTop w:val="0"/>
      <w:marBottom w:val="0"/>
      <w:divBdr>
        <w:top w:val="none" w:sz="0" w:space="0" w:color="auto"/>
        <w:left w:val="none" w:sz="0" w:space="0" w:color="auto"/>
        <w:bottom w:val="none" w:sz="0" w:space="0" w:color="auto"/>
        <w:right w:val="none" w:sz="0" w:space="0" w:color="auto"/>
      </w:divBdr>
    </w:div>
    <w:div w:id="579365849">
      <w:bodyDiv w:val="1"/>
      <w:marLeft w:val="0"/>
      <w:marRight w:val="0"/>
      <w:marTop w:val="0"/>
      <w:marBottom w:val="0"/>
      <w:divBdr>
        <w:top w:val="none" w:sz="0" w:space="0" w:color="auto"/>
        <w:left w:val="none" w:sz="0" w:space="0" w:color="auto"/>
        <w:bottom w:val="none" w:sz="0" w:space="0" w:color="auto"/>
        <w:right w:val="none" w:sz="0" w:space="0" w:color="auto"/>
      </w:divBdr>
    </w:div>
    <w:div w:id="714424932">
      <w:bodyDiv w:val="1"/>
      <w:marLeft w:val="0"/>
      <w:marRight w:val="0"/>
      <w:marTop w:val="0"/>
      <w:marBottom w:val="0"/>
      <w:divBdr>
        <w:top w:val="none" w:sz="0" w:space="0" w:color="auto"/>
        <w:left w:val="none" w:sz="0" w:space="0" w:color="auto"/>
        <w:bottom w:val="none" w:sz="0" w:space="0" w:color="auto"/>
        <w:right w:val="none" w:sz="0" w:space="0" w:color="auto"/>
      </w:divBdr>
      <w:divsChild>
        <w:div w:id="2028091275">
          <w:marLeft w:val="0"/>
          <w:marRight w:val="0"/>
          <w:marTop w:val="0"/>
          <w:marBottom w:val="0"/>
          <w:divBdr>
            <w:top w:val="none" w:sz="0" w:space="0" w:color="auto"/>
            <w:left w:val="none" w:sz="0" w:space="0" w:color="auto"/>
            <w:bottom w:val="none" w:sz="0" w:space="0" w:color="auto"/>
            <w:right w:val="none" w:sz="0" w:space="0" w:color="auto"/>
          </w:divBdr>
        </w:div>
        <w:div w:id="1470709354">
          <w:marLeft w:val="0"/>
          <w:marRight w:val="0"/>
          <w:marTop w:val="0"/>
          <w:marBottom w:val="0"/>
          <w:divBdr>
            <w:top w:val="none" w:sz="0" w:space="0" w:color="auto"/>
            <w:left w:val="none" w:sz="0" w:space="0" w:color="auto"/>
            <w:bottom w:val="none" w:sz="0" w:space="0" w:color="auto"/>
            <w:right w:val="none" w:sz="0" w:space="0" w:color="auto"/>
          </w:divBdr>
        </w:div>
        <w:div w:id="6370057">
          <w:marLeft w:val="0"/>
          <w:marRight w:val="0"/>
          <w:marTop w:val="0"/>
          <w:marBottom w:val="0"/>
          <w:divBdr>
            <w:top w:val="none" w:sz="0" w:space="0" w:color="auto"/>
            <w:left w:val="none" w:sz="0" w:space="0" w:color="auto"/>
            <w:bottom w:val="none" w:sz="0" w:space="0" w:color="auto"/>
            <w:right w:val="none" w:sz="0" w:space="0" w:color="auto"/>
          </w:divBdr>
        </w:div>
        <w:div w:id="24214875">
          <w:marLeft w:val="0"/>
          <w:marRight w:val="0"/>
          <w:marTop w:val="0"/>
          <w:marBottom w:val="0"/>
          <w:divBdr>
            <w:top w:val="none" w:sz="0" w:space="0" w:color="auto"/>
            <w:left w:val="none" w:sz="0" w:space="0" w:color="auto"/>
            <w:bottom w:val="none" w:sz="0" w:space="0" w:color="auto"/>
            <w:right w:val="none" w:sz="0" w:space="0" w:color="auto"/>
          </w:divBdr>
        </w:div>
        <w:div w:id="677468610">
          <w:marLeft w:val="0"/>
          <w:marRight w:val="0"/>
          <w:marTop w:val="0"/>
          <w:marBottom w:val="0"/>
          <w:divBdr>
            <w:top w:val="none" w:sz="0" w:space="0" w:color="auto"/>
            <w:left w:val="none" w:sz="0" w:space="0" w:color="auto"/>
            <w:bottom w:val="none" w:sz="0" w:space="0" w:color="auto"/>
            <w:right w:val="none" w:sz="0" w:space="0" w:color="auto"/>
          </w:divBdr>
        </w:div>
        <w:div w:id="308899121">
          <w:marLeft w:val="0"/>
          <w:marRight w:val="0"/>
          <w:marTop w:val="0"/>
          <w:marBottom w:val="0"/>
          <w:divBdr>
            <w:top w:val="none" w:sz="0" w:space="0" w:color="auto"/>
            <w:left w:val="none" w:sz="0" w:space="0" w:color="auto"/>
            <w:bottom w:val="none" w:sz="0" w:space="0" w:color="auto"/>
            <w:right w:val="none" w:sz="0" w:space="0" w:color="auto"/>
          </w:divBdr>
        </w:div>
      </w:divsChild>
    </w:div>
    <w:div w:id="920480454">
      <w:bodyDiv w:val="1"/>
      <w:marLeft w:val="0"/>
      <w:marRight w:val="0"/>
      <w:marTop w:val="0"/>
      <w:marBottom w:val="0"/>
      <w:divBdr>
        <w:top w:val="none" w:sz="0" w:space="0" w:color="auto"/>
        <w:left w:val="none" w:sz="0" w:space="0" w:color="auto"/>
        <w:bottom w:val="none" w:sz="0" w:space="0" w:color="auto"/>
        <w:right w:val="none" w:sz="0" w:space="0" w:color="auto"/>
      </w:divBdr>
    </w:div>
    <w:div w:id="1006176498">
      <w:bodyDiv w:val="1"/>
      <w:marLeft w:val="0"/>
      <w:marRight w:val="0"/>
      <w:marTop w:val="0"/>
      <w:marBottom w:val="0"/>
      <w:divBdr>
        <w:top w:val="none" w:sz="0" w:space="0" w:color="auto"/>
        <w:left w:val="none" w:sz="0" w:space="0" w:color="auto"/>
        <w:bottom w:val="none" w:sz="0" w:space="0" w:color="auto"/>
        <w:right w:val="none" w:sz="0" w:space="0" w:color="auto"/>
      </w:divBdr>
    </w:div>
    <w:div w:id="1017003584">
      <w:bodyDiv w:val="1"/>
      <w:marLeft w:val="0"/>
      <w:marRight w:val="0"/>
      <w:marTop w:val="0"/>
      <w:marBottom w:val="0"/>
      <w:divBdr>
        <w:top w:val="none" w:sz="0" w:space="0" w:color="auto"/>
        <w:left w:val="none" w:sz="0" w:space="0" w:color="auto"/>
        <w:bottom w:val="none" w:sz="0" w:space="0" w:color="auto"/>
        <w:right w:val="none" w:sz="0" w:space="0" w:color="auto"/>
      </w:divBdr>
    </w:div>
    <w:div w:id="1283422740">
      <w:bodyDiv w:val="1"/>
      <w:marLeft w:val="0"/>
      <w:marRight w:val="0"/>
      <w:marTop w:val="0"/>
      <w:marBottom w:val="0"/>
      <w:divBdr>
        <w:top w:val="none" w:sz="0" w:space="0" w:color="auto"/>
        <w:left w:val="none" w:sz="0" w:space="0" w:color="auto"/>
        <w:bottom w:val="none" w:sz="0" w:space="0" w:color="auto"/>
        <w:right w:val="none" w:sz="0" w:space="0" w:color="auto"/>
      </w:divBdr>
    </w:div>
    <w:div w:id="1292246742">
      <w:bodyDiv w:val="1"/>
      <w:marLeft w:val="0"/>
      <w:marRight w:val="0"/>
      <w:marTop w:val="0"/>
      <w:marBottom w:val="0"/>
      <w:divBdr>
        <w:top w:val="none" w:sz="0" w:space="0" w:color="auto"/>
        <w:left w:val="none" w:sz="0" w:space="0" w:color="auto"/>
        <w:bottom w:val="none" w:sz="0" w:space="0" w:color="auto"/>
        <w:right w:val="none" w:sz="0" w:space="0" w:color="auto"/>
      </w:divBdr>
    </w:div>
    <w:div w:id="1426999756">
      <w:bodyDiv w:val="1"/>
      <w:marLeft w:val="0"/>
      <w:marRight w:val="0"/>
      <w:marTop w:val="0"/>
      <w:marBottom w:val="0"/>
      <w:divBdr>
        <w:top w:val="none" w:sz="0" w:space="0" w:color="auto"/>
        <w:left w:val="none" w:sz="0" w:space="0" w:color="auto"/>
        <w:bottom w:val="none" w:sz="0" w:space="0" w:color="auto"/>
        <w:right w:val="none" w:sz="0" w:space="0" w:color="auto"/>
      </w:divBdr>
    </w:div>
    <w:div w:id="1537041835">
      <w:bodyDiv w:val="1"/>
      <w:marLeft w:val="0"/>
      <w:marRight w:val="0"/>
      <w:marTop w:val="0"/>
      <w:marBottom w:val="0"/>
      <w:divBdr>
        <w:top w:val="none" w:sz="0" w:space="0" w:color="auto"/>
        <w:left w:val="none" w:sz="0" w:space="0" w:color="auto"/>
        <w:bottom w:val="none" w:sz="0" w:space="0" w:color="auto"/>
        <w:right w:val="none" w:sz="0" w:space="0" w:color="auto"/>
      </w:divBdr>
    </w:div>
    <w:div w:id="1571649445">
      <w:bodyDiv w:val="1"/>
      <w:marLeft w:val="0"/>
      <w:marRight w:val="0"/>
      <w:marTop w:val="0"/>
      <w:marBottom w:val="0"/>
      <w:divBdr>
        <w:top w:val="none" w:sz="0" w:space="0" w:color="auto"/>
        <w:left w:val="none" w:sz="0" w:space="0" w:color="auto"/>
        <w:bottom w:val="none" w:sz="0" w:space="0" w:color="auto"/>
        <w:right w:val="none" w:sz="0" w:space="0" w:color="auto"/>
      </w:divBdr>
    </w:div>
    <w:div w:id="1740714161">
      <w:bodyDiv w:val="1"/>
      <w:marLeft w:val="0"/>
      <w:marRight w:val="0"/>
      <w:marTop w:val="0"/>
      <w:marBottom w:val="0"/>
      <w:divBdr>
        <w:top w:val="none" w:sz="0" w:space="0" w:color="auto"/>
        <w:left w:val="none" w:sz="0" w:space="0" w:color="auto"/>
        <w:bottom w:val="none" w:sz="0" w:space="0" w:color="auto"/>
        <w:right w:val="none" w:sz="0" w:space="0" w:color="auto"/>
      </w:divBdr>
    </w:div>
    <w:div w:id="1763717674">
      <w:bodyDiv w:val="1"/>
      <w:marLeft w:val="0"/>
      <w:marRight w:val="0"/>
      <w:marTop w:val="0"/>
      <w:marBottom w:val="0"/>
      <w:divBdr>
        <w:top w:val="none" w:sz="0" w:space="0" w:color="auto"/>
        <w:left w:val="none" w:sz="0" w:space="0" w:color="auto"/>
        <w:bottom w:val="none" w:sz="0" w:space="0" w:color="auto"/>
        <w:right w:val="none" w:sz="0" w:space="0" w:color="auto"/>
      </w:divBdr>
      <w:divsChild>
        <w:div w:id="932667066">
          <w:marLeft w:val="0"/>
          <w:marRight w:val="0"/>
          <w:marTop w:val="0"/>
          <w:marBottom w:val="0"/>
          <w:divBdr>
            <w:top w:val="none" w:sz="0" w:space="0" w:color="auto"/>
            <w:left w:val="none" w:sz="0" w:space="0" w:color="auto"/>
            <w:bottom w:val="none" w:sz="0" w:space="0" w:color="auto"/>
            <w:right w:val="none" w:sz="0" w:space="0" w:color="auto"/>
          </w:divBdr>
        </w:div>
        <w:div w:id="550069742">
          <w:marLeft w:val="0"/>
          <w:marRight w:val="0"/>
          <w:marTop w:val="0"/>
          <w:marBottom w:val="0"/>
          <w:divBdr>
            <w:top w:val="none" w:sz="0" w:space="0" w:color="auto"/>
            <w:left w:val="none" w:sz="0" w:space="0" w:color="auto"/>
            <w:bottom w:val="none" w:sz="0" w:space="0" w:color="auto"/>
            <w:right w:val="none" w:sz="0" w:space="0" w:color="auto"/>
          </w:divBdr>
        </w:div>
        <w:div w:id="299307976">
          <w:marLeft w:val="0"/>
          <w:marRight w:val="0"/>
          <w:marTop w:val="0"/>
          <w:marBottom w:val="0"/>
          <w:divBdr>
            <w:top w:val="none" w:sz="0" w:space="0" w:color="auto"/>
            <w:left w:val="none" w:sz="0" w:space="0" w:color="auto"/>
            <w:bottom w:val="none" w:sz="0" w:space="0" w:color="auto"/>
            <w:right w:val="none" w:sz="0" w:space="0" w:color="auto"/>
          </w:divBdr>
        </w:div>
      </w:divsChild>
    </w:div>
    <w:div w:id="1786728565">
      <w:bodyDiv w:val="1"/>
      <w:marLeft w:val="0"/>
      <w:marRight w:val="0"/>
      <w:marTop w:val="0"/>
      <w:marBottom w:val="0"/>
      <w:divBdr>
        <w:top w:val="none" w:sz="0" w:space="0" w:color="auto"/>
        <w:left w:val="none" w:sz="0" w:space="0" w:color="auto"/>
        <w:bottom w:val="none" w:sz="0" w:space="0" w:color="auto"/>
        <w:right w:val="none" w:sz="0" w:space="0" w:color="auto"/>
      </w:divBdr>
    </w:div>
    <w:div w:id="1797019560">
      <w:bodyDiv w:val="1"/>
      <w:marLeft w:val="0"/>
      <w:marRight w:val="0"/>
      <w:marTop w:val="0"/>
      <w:marBottom w:val="0"/>
      <w:divBdr>
        <w:top w:val="none" w:sz="0" w:space="0" w:color="auto"/>
        <w:left w:val="none" w:sz="0" w:space="0" w:color="auto"/>
        <w:bottom w:val="none" w:sz="0" w:space="0" w:color="auto"/>
        <w:right w:val="none" w:sz="0" w:space="0" w:color="auto"/>
      </w:divBdr>
    </w:div>
    <w:div w:id="2040928816">
      <w:bodyDiv w:val="1"/>
      <w:marLeft w:val="0"/>
      <w:marRight w:val="0"/>
      <w:marTop w:val="0"/>
      <w:marBottom w:val="0"/>
      <w:divBdr>
        <w:top w:val="none" w:sz="0" w:space="0" w:color="auto"/>
        <w:left w:val="none" w:sz="0" w:space="0" w:color="auto"/>
        <w:bottom w:val="none" w:sz="0" w:space="0" w:color="auto"/>
        <w:right w:val="none" w:sz="0" w:space="0" w:color="auto"/>
      </w:divBdr>
    </w:div>
    <w:div w:id="21182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ebesta\Documents\Vlastn&#237;%20&#353;ablony%20Office\SPCR%20-%20Stanovisk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7de549f-3217-4365-91b5-8b51a2c18c8c" xsi:nil="true"/>
    <lcf76f155ced4ddcb4097134ff3c332f xmlns="854e80dc-3bf7-4dbb-9ae6-372e50eff8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2B363C65F50147984E214CFDEB62D6" ma:contentTypeVersion="13" ma:contentTypeDescription="Vytvoří nový dokument" ma:contentTypeScope="" ma:versionID="b691613b3786b7e6cb89883bd92a0f5e">
  <xsd:schema xmlns:xsd="http://www.w3.org/2001/XMLSchema" xmlns:xs="http://www.w3.org/2001/XMLSchema" xmlns:p="http://schemas.microsoft.com/office/2006/metadata/properties" xmlns:ns2="57de549f-3217-4365-91b5-8b51a2c18c8c" xmlns:ns3="854e80dc-3bf7-4dbb-9ae6-372e50eff866" targetNamespace="http://schemas.microsoft.com/office/2006/metadata/properties" ma:root="true" ma:fieldsID="43c9d71929f0b94a6cfa917dfc3c4725" ns2:_="" ns3:_="">
    <xsd:import namespace="57de549f-3217-4365-91b5-8b51a2c18c8c"/>
    <xsd:import namespace="854e80dc-3bf7-4dbb-9ae6-372e50eff866"/>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e549f-3217-4365-91b5-8b51a2c18c8c"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8" nillable="true" ma:displayName="Taxonomy Catch All Column" ma:hidden="true" ma:list="{290abf21-3a6b-4cdd-93b2-b0da2710f46e}" ma:internalName="TaxCatchAll" ma:showField="CatchAllData" ma:web="57de549f-3217-4365-91b5-8b51a2c18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4e80dc-3bf7-4dbb-9ae6-372e50eff86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54ec24e7-71bd-4f6e-949a-fe220ecc709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24A3E-1698-4F31-9839-CCE91404A7BB}">
  <ds:schemaRefs>
    <ds:schemaRef ds:uri="http://schemas.openxmlformats.org/officeDocument/2006/bibliography"/>
  </ds:schemaRefs>
</ds:datastoreItem>
</file>

<file path=customXml/itemProps2.xml><?xml version="1.0" encoding="utf-8"?>
<ds:datastoreItem xmlns:ds="http://schemas.openxmlformats.org/officeDocument/2006/customXml" ds:itemID="{FD2A5C0D-785C-4DCB-84CB-1DFEBEE1E236}">
  <ds:schemaRefs>
    <ds:schemaRef ds:uri="http://schemas.microsoft.com/office/2006/metadata/properties"/>
    <ds:schemaRef ds:uri="http://schemas.microsoft.com/office/infopath/2007/PartnerControls"/>
    <ds:schemaRef ds:uri="57de549f-3217-4365-91b5-8b51a2c18c8c"/>
    <ds:schemaRef ds:uri="854e80dc-3bf7-4dbb-9ae6-372e50eff866"/>
  </ds:schemaRefs>
</ds:datastoreItem>
</file>

<file path=customXml/itemProps3.xml><?xml version="1.0" encoding="utf-8"?>
<ds:datastoreItem xmlns:ds="http://schemas.openxmlformats.org/officeDocument/2006/customXml" ds:itemID="{6DAC8A55-1446-432A-A91D-28E46218E93E}">
  <ds:schemaRefs>
    <ds:schemaRef ds:uri="http://schemas.microsoft.com/sharepoint/v3/contenttype/forms"/>
  </ds:schemaRefs>
</ds:datastoreItem>
</file>

<file path=customXml/itemProps4.xml><?xml version="1.0" encoding="utf-8"?>
<ds:datastoreItem xmlns:ds="http://schemas.openxmlformats.org/officeDocument/2006/customXml" ds:itemID="{4F69449F-387E-4E80-9085-2C399869B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e549f-3217-4365-91b5-8b51a2c18c8c"/>
    <ds:schemaRef ds:uri="854e80dc-3bf7-4dbb-9ae6-372e50eff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SPCR - Stanovisko</Template>
  <TotalTime>0</TotalTime>
  <Pages>8</Pages>
  <Words>2752</Words>
  <Characters>16241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Šebesta Jan</dc:creator>
  <cp:lastModifiedBy>Eva Křivánková</cp:lastModifiedBy>
  <cp:revision>2</cp:revision>
  <cp:lastPrinted>2025-09-24T12:35:00Z</cp:lastPrinted>
  <dcterms:created xsi:type="dcterms:W3CDTF">2025-11-10T08:49:00Z</dcterms:created>
  <dcterms:modified xsi:type="dcterms:W3CDTF">2025-11-10T08:49:00Z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0x010100F12B363C65F50147984E214CFDEB62D6</vt:lpwstr>
  </property>
  <property fmtid="{D5CDD505-2E9C-101B-9397-08002B2CF9AE}" pid="3" name="MediaServiceImageTags">
    <vt:lpwstr/>
  </property>
  <property fmtid="{D5CDD505-2E9C-101B-9397-08002B2CF9AE}" pid="4" name="ClassificationContentMarkingHeaderShapeIds">
    <vt:lpwstr>6bcad611,1a4b14dd,6a21e27e</vt:lpwstr>
  </property>
  <property fmtid="{D5CDD505-2E9C-101B-9397-08002B2CF9AE}" pid="5" name="ClassificationContentMarkingHeaderFontProps">
    <vt:lpwstr>#000000,7,Verdana</vt:lpwstr>
  </property>
  <property fmtid="{D5CDD505-2E9C-101B-9397-08002B2CF9AE}" pid="6" name="ClassificationContentMarkingHeaderText">
    <vt:lpwstr>SŽ: Interní</vt:lpwstr>
  </property>
</Properties>
</file>